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A580B" w:rsidRDefault="00000000" w:rsidP="00207582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Nome dos integrantes: </w:t>
      </w:r>
      <w:r>
        <w:rPr>
          <w:rFonts w:ascii="Times New Roman" w:eastAsia="Times New Roman" w:hAnsi="Times New Roman" w:cs="Times New Roman"/>
        </w:rPr>
        <w:t>Maria Eduarda Cortellini - RA: 52420167</w:t>
      </w:r>
    </w:p>
    <w:p w14:paraId="00000002" w14:textId="77777777" w:rsidR="00EA580B" w:rsidRPr="00207582" w:rsidRDefault="00000000" w:rsidP="00207582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</w:t>
      </w:r>
      <w:r w:rsidRPr="00207582">
        <w:rPr>
          <w:rFonts w:ascii="Times New Roman" w:eastAsia="Times New Roman" w:hAnsi="Times New Roman" w:cs="Times New Roman"/>
          <w:lang w:val="en-US"/>
        </w:rPr>
        <w:t>Giovanna Fogaça - RA: 52421068</w:t>
      </w:r>
    </w:p>
    <w:p w14:paraId="00000003" w14:textId="77777777" w:rsidR="00EA580B" w:rsidRPr="00207582" w:rsidRDefault="00000000" w:rsidP="00207582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207582">
        <w:rPr>
          <w:rFonts w:ascii="Times New Roman" w:eastAsia="Times New Roman" w:hAnsi="Times New Roman" w:cs="Times New Roman"/>
          <w:lang w:val="en-US"/>
        </w:rPr>
        <w:tab/>
      </w:r>
      <w:r w:rsidRPr="00207582">
        <w:rPr>
          <w:rFonts w:ascii="Times New Roman" w:eastAsia="Times New Roman" w:hAnsi="Times New Roman" w:cs="Times New Roman"/>
          <w:lang w:val="en-US"/>
        </w:rPr>
        <w:tab/>
      </w:r>
      <w:r w:rsidRPr="00207582">
        <w:rPr>
          <w:rFonts w:ascii="Times New Roman" w:eastAsia="Times New Roman" w:hAnsi="Times New Roman" w:cs="Times New Roman"/>
          <w:lang w:val="en-US"/>
        </w:rPr>
        <w:tab/>
        <w:t xml:space="preserve">  Karen Arwen - RA: 52420075</w:t>
      </w:r>
    </w:p>
    <w:p w14:paraId="00000004" w14:textId="77777777" w:rsidR="00EA580B" w:rsidRDefault="00000000" w:rsidP="00207582">
      <w:pPr>
        <w:spacing w:line="360" w:lineRule="auto"/>
        <w:rPr>
          <w:rFonts w:ascii="Times New Roman" w:eastAsia="Times New Roman" w:hAnsi="Times New Roman" w:cs="Times New Roman"/>
        </w:rPr>
      </w:pPr>
      <w:r w:rsidRPr="00207582">
        <w:rPr>
          <w:rFonts w:ascii="Times New Roman" w:eastAsia="Times New Roman" w:hAnsi="Times New Roman" w:cs="Times New Roman"/>
          <w:lang w:val="en-US"/>
        </w:rPr>
        <w:tab/>
      </w:r>
      <w:r w:rsidRPr="00207582">
        <w:rPr>
          <w:rFonts w:ascii="Times New Roman" w:eastAsia="Times New Roman" w:hAnsi="Times New Roman" w:cs="Times New Roman"/>
          <w:lang w:val="en-US"/>
        </w:rPr>
        <w:tab/>
      </w:r>
      <w:r w:rsidRPr="00207582">
        <w:rPr>
          <w:rFonts w:ascii="Times New Roman" w:eastAsia="Times New Roman" w:hAnsi="Times New Roman" w:cs="Times New Roman"/>
          <w:lang w:val="en-US"/>
        </w:rPr>
        <w:tab/>
        <w:t xml:space="preserve">  </w:t>
      </w:r>
      <w:r>
        <w:rPr>
          <w:rFonts w:ascii="Times New Roman" w:eastAsia="Times New Roman" w:hAnsi="Times New Roman" w:cs="Times New Roman"/>
        </w:rPr>
        <w:t>Beatriz Antunes - RA: 52420663</w:t>
      </w:r>
    </w:p>
    <w:p w14:paraId="00000005" w14:textId="77777777" w:rsidR="00EA580B" w:rsidRDefault="00000000" w:rsidP="00207582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Luiz Fernando - RA: 52421183</w:t>
      </w:r>
    </w:p>
    <w:p w14:paraId="00000006" w14:textId="77777777" w:rsidR="00EA580B" w:rsidRDefault="00000000" w:rsidP="00207582">
      <w:pPr>
        <w:spacing w:line="360" w:lineRule="auto"/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Daniele Tavares - RA: 52420099</w:t>
      </w:r>
    </w:p>
    <w:p w14:paraId="00000007" w14:textId="77777777" w:rsidR="00EA580B" w:rsidRDefault="00EA580B" w:rsidP="00207582">
      <w:pPr>
        <w:spacing w:line="360" w:lineRule="auto"/>
        <w:ind w:left="2160"/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8" w14:textId="77777777" w:rsidR="00EA580B" w:rsidRDefault="00000000" w:rsidP="002075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ANÁLISE CRÍTICA</w:t>
      </w:r>
    </w:p>
    <w:p w14:paraId="00000009" w14:textId="77777777" w:rsidR="00EA580B" w:rsidRDefault="00000000" w:rsidP="00207582">
      <w:pPr>
        <w:spacing w:line="360" w:lineRule="auto"/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4C5B8AD" w14:textId="77777777" w:rsidR="00207582" w:rsidRPr="00207582" w:rsidRDefault="00207582" w:rsidP="00207582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 w:rsidRPr="00207582">
        <w:rPr>
          <w:rFonts w:ascii="Times New Roman" w:eastAsia="Times New Roman" w:hAnsi="Times New Roman" w:cs="Times New Roman"/>
          <w:b/>
          <w:bCs/>
        </w:rPr>
        <w:t>Desempenho geral:</w:t>
      </w:r>
      <w:r w:rsidRPr="00207582">
        <w:rPr>
          <w:rFonts w:ascii="Times New Roman" w:eastAsia="Times New Roman" w:hAnsi="Times New Roman" w:cs="Times New Roman"/>
        </w:rPr>
        <w:t xml:space="preserve"> O modelo Random Forest apresentou uma </w:t>
      </w:r>
      <w:proofErr w:type="spellStart"/>
      <w:r w:rsidRPr="00207582">
        <w:rPr>
          <w:rFonts w:ascii="Times New Roman" w:eastAsia="Times New Roman" w:hAnsi="Times New Roman" w:cs="Times New Roman"/>
        </w:rPr>
        <w:t>accuracy</w:t>
      </w:r>
      <w:proofErr w:type="spellEnd"/>
      <w:r w:rsidRPr="00207582">
        <w:rPr>
          <w:rFonts w:ascii="Times New Roman" w:eastAsia="Times New Roman" w:hAnsi="Times New Roman" w:cs="Times New Roman"/>
        </w:rPr>
        <w:t xml:space="preserve"> de 62,17% nos dados de teste, demonstrando uma capacidade preditiva moderada para identificar períodos de inflação alta no Brasil. Apesar de o resultado ser superior a uma previsão aleatória, o desempenho ainda está abaixo do ideal para aplicações financeiras estratégicas, nas quais normalmente são desejadas métricas acima de 80% de acurácia.</w:t>
      </w:r>
    </w:p>
    <w:p w14:paraId="504A8EF3" w14:textId="77777777" w:rsidR="00207582" w:rsidRPr="00207582" w:rsidRDefault="00207582" w:rsidP="00207582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 w:rsidRPr="00207582">
        <w:rPr>
          <w:rFonts w:ascii="Times New Roman" w:eastAsia="Times New Roman" w:hAnsi="Times New Roman" w:cs="Times New Roman"/>
          <w:b/>
          <w:bCs/>
        </w:rPr>
        <w:t>Análise das métricas:</w:t>
      </w:r>
      <w:r w:rsidRPr="00207582">
        <w:rPr>
          <w:rFonts w:ascii="Times New Roman" w:eastAsia="Times New Roman" w:hAnsi="Times New Roman" w:cs="Times New Roman"/>
        </w:rPr>
        <w:t xml:space="preserve"> A métrica mais crítica foi o Recall de 35,71%, indicando que o modelo conseguiu identificar corretamente apenas cerca de 3 a cada 10 períodos reais de inflação alta. Isso significa que muitos cenários inflacionários relevantes ainda passam despercebidos pelo algoritmo. A </w:t>
      </w:r>
      <w:proofErr w:type="spellStart"/>
      <w:r w:rsidRPr="00207582">
        <w:rPr>
          <w:rFonts w:ascii="Times New Roman" w:eastAsia="Times New Roman" w:hAnsi="Times New Roman" w:cs="Times New Roman"/>
        </w:rPr>
        <w:t>Precision</w:t>
      </w:r>
      <w:proofErr w:type="spellEnd"/>
      <w:r w:rsidRPr="00207582">
        <w:rPr>
          <w:rFonts w:ascii="Times New Roman" w:eastAsia="Times New Roman" w:hAnsi="Times New Roman" w:cs="Times New Roman"/>
        </w:rPr>
        <w:t xml:space="preserve"> de 55,68% mostra que, quando o modelo prevê inflação alta, ele acerta pouco mais da metade das vezes. Já o F1-Score de 43,52% evidencia um equilíbrio ainda limitado entre precisão e sensibilidade.</w:t>
      </w:r>
    </w:p>
    <w:p w14:paraId="575AF2C4" w14:textId="77777777" w:rsidR="00207582" w:rsidRPr="00207582" w:rsidRDefault="00207582" w:rsidP="00207582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r w:rsidRPr="00207582">
        <w:rPr>
          <w:rFonts w:ascii="Times New Roman" w:eastAsia="Times New Roman" w:hAnsi="Times New Roman" w:cs="Times New Roman"/>
          <w:b/>
          <w:bCs/>
        </w:rPr>
        <w:t>Overfitting</w:t>
      </w:r>
      <w:proofErr w:type="spellEnd"/>
      <w:r w:rsidRPr="00207582">
        <w:rPr>
          <w:rFonts w:ascii="Times New Roman" w:eastAsia="Times New Roman" w:hAnsi="Times New Roman" w:cs="Times New Roman"/>
          <w:b/>
          <w:bCs/>
        </w:rPr>
        <w:t>:</w:t>
      </w:r>
      <w:r w:rsidRPr="00207582">
        <w:rPr>
          <w:rFonts w:ascii="Times New Roman" w:eastAsia="Times New Roman" w:hAnsi="Times New Roman" w:cs="Times New Roman"/>
        </w:rPr>
        <w:t xml:space="preserve"> O modelo apresentou </w:t>
      </w:r>
      <w:proofErr w:type="spellStart"/>
      <w:r w:rsidRPr="00207582">
        <w:rPr>
          <w:rFonts w:ascii="Times New Roman" w:eastAsia="Times New Roman" w:hAnsi="Times New Roman" w:cs="Times New Roman"/>
        </w:rPr>
        <w:t>accuracy</w:t>
      </w:r>
      <w:proofErr w:type="spellEnd"/>
      <w:r w:rsidRPr="00207582">
        <w:rPr>
          <w:rFonts w:ascii="Times New Roman" w:eastAsia="Times New Roman" w:hAnsi="Times New Roman" w:cs="Times New Roman"/>
        </w:rPr>
        <w:t xml:space="preserve"> de 81,10% nos dados de treino contra 62,17% nos dados de teste, gerando uma diferença de 18,94 pontos percentuais. Esse comportamento caracteriza </w:t>
      </w:r>
      <w:proofErr w:type="spellStart"/>
      <w:r w:rsidRPr="00207582">
        <w:rPr>
          <w:rFonts w:ascii="Times New Roman" w:eastAsia="Times New Roman" w:hAnsi="Times New Roman" w:cs="Times New Roman"/>
        </w:rPr>
        <w:t>overfitting</w:t>
      </w:r>
      <w:proofErr w:type="spellEnd"/>
      <w:r w:rsidRPr="00207582">
        <w:rPr>
          <w:rFonts w:ascii="Times New Roman" w:eastAsia="Times New Roman" w:hAnsi="Times New Roman" w:cs="Times New Roman"/>
        </w:rPr>
        <w:t xml:space="preserve"> moderado, indicando que o algoritmo aprendeu padrões muito específicos do conjunto de treinamento e teve dificuldade para generalizar adequadamente em dados novos.</w:t>
      </w:r>
    </w:p>
    <w:p w14:paraId="57203805" w14:textId="77777777" w:rsidR="00207582" w:rsidRPr="00207582" w:rsidRDefault="00207582" w:rsidP="00207582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 w:rsidRPr="00207582">
        <w:rPr>
          <w:rFonts w:ascii="Times New Roman" w:eastAsia="Times New Roman" w:hAnsi="Times New Roman" w:cs="Times New Roman"/>
          <w:b/>
          <w:bCs/>
        </w:rPr>
        <w:t>Variáveis mais relevantes:</w:t>
      </w:r>
      <w:r w:rsidRPr="00207582">
        <w:rPr>
          <w:rFonts w:ascii="Times New Roman" w:eastAsia="Times New Roman" w:hAnsi="Times New Roman" w:cs="Times New Roman"/>
        </w:rPr>
        <w:t xml:space="preserve"> Entre todas as variáveis analisadas, o câmbio USD/BRL foi o indicador de maior impacto nas decisões do modelo. Esse resultado faz sentido economicamente, pois a valorização do dólar influencia diretamente os custos de importação, pressionando os preços internos e contribuindo para o aumento da inflação. Outras variáveis macroeconômicas, como taxa Selic, inflação dos Estados Unidos e índice DXY, também contribuíram para as previsões.</w:t>
      </w:r>
    </w:p>
    <w:p w14:paraId="0000000F" w14:textId="0A120A76" w:rsidR="00EA580B" w:rsidRPr="00207582" w:rsidRDefault="00207582" w:rsidP="00207582">
      <w:pPr>
        <w:spacing w:line="360" w:lineRule="auto"/>
        <w:ind w:firstLine="720"/>
      </w:pPr>
      <w:r w:rsidRPr="00207582">
        <w:rPr>
          <w:rFonts w:ascii="Times New Roman" w:eastAsia="Times New Roman" w:hAnsi="Times New Roman" w:cs="Times New Roman"/>
          <w:b/>
          <w:bCs/>
        </w:rPr>
        <w:t xml:space="preserve">Possíveis melhorias: </w:t>
      </w:r>
      <w:r w:rsidRPr="00207582">
        <w:rPr>
          <w:rFonts w:ascii="Times New Roman" w:eastAsia="Times New Roman" w:hAnsi="Times New Roman" w:cs="Times New Roman"/>
        </w:rPr>
        <w:t xml:space="preserve">Para aumentar a capacidade preditiva do modelo e reduzir o </w:t>
      </w:r>
      <w:proofErr w:type="spellStart"/>
      <w:r w:rsidRPr="00207582">
        <w:rPr>
          <w:rFonts w:ascii="Times New Roman" w:eastAsia="Times New Roman" w:hAnsi="Times New Roman" w:cs="Times New Roman"/>
        </w:rPr>
        <w:t>overfitting</w:t>
      </w:r>
      <w:proofErr w:type="spellEnd"/>
      <w:r w:rsidRPr="00207582">
        <w:rPr>
          <w:rFonts w:ascii="Times New Roman" w:eastAsia="Times New Roman" w:hAnsi="Times New Roman" w:cs="Times New Roman"/>
        </w:rPr>
        <w:t>, recomenda-se aplicar técnicas como validação cruzada (</w:t>
      </w:r>
      <w:proofErr w:type="spellStart"/>
      <w:r w:rsidRPr="00207582">
        <w:rPr>
          <w:rFonts w:ascii="Times New Roman" w:eastAsia="Times New Roman" w:hAnsi="Times New Roman" w:cs="Times New Roman"/>
        </w:rPr>
        <w:t>cross-validation</w:t>
      </w:r>
      <w:proofErr w:type="spellEnd"/>
      <w:r w:rsidRPr="00207582">
        <w:rPr>
          <w:rFonts w:ascii="Times New Roman" w:eastAsia="Times New Roman" w:hAnsi="Times New Roman" w:cs="Times New Roman"/>
        </w:rPr>
        <w:t xml:space="preserve">), ajuste de </w:t>
      </w:r>
      <w:proofErr w:type="spellStart"/>
      <w:r w:rsidRPr="00207582">
        <w:rPr>
          <w:rFonts w:ascii="Times New Roman" w:eastAsia="Times New Roman" w:hAnsi="Times New Roman" w:cs="Times New Roman"/>
        </w:rPr>
        <w:t>hiperparâmetros</w:t>
      </w:r>
      <w:proofErr w:type="spellEnd"/>
      <w:r w:rsidRPr="00207582">
        <w:rPr>
          <w:rFonts w:ascii="Times New Roman" w:eastAsia="Times New Roman" w:hAnsi="Times New Roman" w:cs="Times New Roman"/>
        </w:rPr>
        <w:t>, redução da profundidade das árvores e balanceamento de classes. Além disso, a criação de novas features temporais, como médias móveis, tendências e defasagens dos indicadores econômicos, pode enriquecer o aprendizado do algoritmo.</w:t>
      </w:r>
    </w:p>
    <w:sectPr w:rsidR="00EA580B" w:rsidRPr="0020758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8CEC4E-4D67-418F-B1A3-4D049D3285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37984D-C453-435A-8254-9983ED6156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80B"/>
    <w:rsid w:val="00207582"/>
    <w:rsid w:val="00434589"/>
    <w:rsid w:val="00EA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17763"/>
  <w15:docId w15:val="{D045FA1B-AD74-4F2D-8B50-3E5F476A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Cortellini</cp:lastModifiedBy>
  <cp:revision>2</cp:revision>
  <dcterms:created xsi:type="dcterms:W3CDTF">2026-05-15T17:32:00Z</dcterms:created>
  <dcterms:modified xsi:type="dcterms:W3CDTF">2026-05-15T17:32:00Z</dcterms:modified>
</cp:coreProperties>
</file>