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8.0" w:type="pct"/>
        <w:tblLayout w:type="fixed"/>
        <w:tblLook w:val="0000"/>
      </w:tblPr>
      <w:tblGrid>
        <w:gridCol w:w="4685"/>
        <w:gridCol w:w="4670"/>
        <w:tblGridChange w:id="0">
          <w:tblGrid>
            <w:gridCol w:w="4685"/>
            <w:gridCol w:w="46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директор ООО «Разработчик»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_______________________/Слепцов Е.Н./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«__» ________________ 2020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директор «Министерства по молодежной политике, спорту и туризму РС(Я)»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_____________________/Эверстов В.В./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«__» ________________ 2020 г.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разработку «Системы учета достижений спортсменов»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Layout w:type="fixed"/>
        <w:tblLook w:val="00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Техническое задание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14 листах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действует с «01» сентября 2020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Начальник управления автоматизации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«Спортсменов»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_____________________/Эверстов В.В./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«__» _______________ 2020 г.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Якутск, 2020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Общие сведения.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Полное наименование системы и ее условное наименование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Номер договора (контракта)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Наименование организации-заказчика и организаций-участников работ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Перечень документов, на основании которых создается система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Плановые сроки начала и окончания работы по созданию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1.6.</w:t>
            </w:r>
          </w:hyperlink>
          <w:hyperlink w:anchor="_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Источники и порядок финансирования работ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1.7.</w:t>
            </w:r>
          </w:hyperlink>
          <w:hyperlink w:anchor="_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Порядок оформления и предъявления заказчику результатов работ по созданию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1.8.</w:t>
            </w:r>
          </w:hyperlink>
          <w:hyperlink w:anchor="_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Определения обозначения и сокращения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Назначение и цели создания (развития) системы.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r0uh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2r0uh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_2r0uhxc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Назначение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664s5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1664s5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Цели создания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q5sas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q5sas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_3q5sasy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Характеристика объектов автоматизации.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5b2l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25b2l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_25b2l0r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Краткие сведения об объекте автоматизации.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gcv8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kgcv8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_kgcv8k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Сведения об условиях эксплуатации объекта автоматизации и характеристиках окружающей среды.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4g0dw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4g0dw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_34g0dwd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системе.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jlao4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1jlao4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_1jlao46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системе в целом;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3ky6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4.1.1.</w:t>
            </w:r>
          </w:hyperlink>
          <w:hyperlink w:anchor="_43ky6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_43ky6rz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структуре и функционированию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20"/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4.1.1.1.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Перечень подсистем и их назначение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20"/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4.1.1.2.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средствам связи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20"/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4.1.1.3.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Режимы функционирования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20"/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4.1.1.4.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Перспективы развития и модернизации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iq8g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4.1.2.</w:t>
            </w:r>
          </w:hyperlink>
          <w:hyperlink w:anchor="_2iq8g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_2iq8gzs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численности и квалификации персонала системы и режиму его работы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vir7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4.1.3.</w:t>
            </w:r>
          </w:hyperlink>
          <w:hyperlink w:anchor="_xvir7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_xvir7l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надежности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hv69v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4.1.4.</w:t>
            </w:r>
          </w:hyperlink>
          <w:hyperlink w:anchor="_3hv69v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_3hv69ve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безопасности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x0gk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4.1.5.</w:t>
            </w:r>
          </w:hyperlink>
          <w:hyperlink w:anchor="_1x0gk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_1x0gk37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эргономике и технической эстетике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h042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4.1.6.</w:t>
            </w:r>
          </w:hyperlink>
          <w:hyperlink w:anchor="_4h042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_4h042r0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эксплуатации, техническому обслуживанию, ремонту и хранению компонентов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20"/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4.1.6.1.</w:t>
            </w:r>
          </w:hyperlink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Регламент эксплуатации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20"/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4.1.6.2.</w:t>
            </w:r>
          </w:hyperlink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допустимым площадям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«Заказчик» должен предоставить место для размещения дополнительного сервера.</w:t>
            </w:r>
          </w:hyperlink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20"/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4.1.6.3.</w:t>
            </w:r>
          </w:hyperlink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регламенту обслуживания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w5ecy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4.1.7.</w:t>
            </w:r>
          </w:hyperlink>
          <w:hyperlink w:anchor="_2w5ecy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_2w5ecyt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защите информации от несанкционированного доступа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baon6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4.1.8.</w:t>
            </w:r>
          </w:hyperlink>
          <w:hyperlink w:anchor="_1baon6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_1baon6m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по сохранности информации при авариях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vac5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4.1.9.</w:t>
            </w:r>
          </w:hyperlink>
          <w:hyperlink w:anchor="_3vac5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_3vac5uf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защите от влияния внешних воздействий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afmg2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4.1.10.</w:t>
            </w:r>
          </w:hyperlink>
          <w:hyperlink w:anchor="_2afmg2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_2afmg28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патентной чистоте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kwqa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4.1.11.</w:t>
            </w:r>
          </w:hyperlink>
          <w:hyperlink w:anchor="_pkwqa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_pkwqa1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по стандартизации и унификации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4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9kk8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39kk8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_39kk8xu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видам обеспечения.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opuj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4.2.1.</w:t>
            </w:r>
          </w:hyperlink>
          <w:hyperlink w:anchor="_1opuj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_1opuj5n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Математическое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8pi1t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4.2.2.</w:t>
            </w:r>
          </w:hyperlink>
          <w:hyperlink w:anchor="_48pi1t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_48pi1tg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Информационное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nusc1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4.2.3.</w:t>
            </w:r>
          </w:hyperlink>
          <w:hyperlink w:anchor="_2nusc1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_2nusc19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Лингвистическое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20"/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4.2.3.1.</w:t>
            </w:r>
          </w:hyperlink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применению языков программирования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20"/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4.2.3.2.</w:t>
            </w:r>
          </w:hyperlink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кодированию данных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20"/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4.2.3.3.</w:t>
            </w:r>
          </w:hyperlink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языкам ввода-вывода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20"/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4.2.3.4.</w:t>
            </w:r>
          </w:hyperlink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языкам манипулирования данными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20"/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4.2.3.5.</w:t>
            </w:r>
          </w:hyperlink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средствам описания предметной области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20"/>
              <w:tab w:val="right" w:pos="9345"/>
            </w:tabs>
            <w:spacing w:after="0" w:before="0" w:line="24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4.2.3.6.</w:t>
            </w:r>
          </w:hyperlink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способам организации диалога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302m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4.2.4.</w:t>
            </w:r>
          </w:hyperlink>
          <w:hyperlink w:anchor="_1302m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_1302m92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Программное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mzq4w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4.2.5.</w:t>
            </w:r>
          </w:hyperlink>
          <w:hyperlink w:anchor="_3mzq4w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_3mzq4wv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Техническое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250f4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4.2.6.</w:t>
            </w:r>
          </w:hyperlink>
          <w:hyperlink w:anchor="_2250f4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_2250f4o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Организационное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aapc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aapc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_haapch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Состав и содержание работ по созданию системы.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19y80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19y80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_319y80a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Порядок контроля и приемки системы.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gf8i8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1gf8i8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_1gf8i83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составу и содержанию работ по подготовке объекта автоматизации к вводу системы в действие.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0ew0v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40ew0v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_40ew0vw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документированию.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hyperlink w:anchor="_2fk6b3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2fk6b3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_2fk6b3p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Источники разработки.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сведения.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Полное наименование системы и ее условное наименование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Полное наименование системы: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Программное обеспечение учета достижений спортсменов «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Sport Achievements Online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(далее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«продукт»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Краткое наименование системы: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договора (контракта)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Номер договора: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ДГ-11/00001 от 01.09.2020 г.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организации-заказчика и организаций-участников работ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Заказчиком системы является «Министерство по молодежной политике, спорту и туризму РС(Я)» (далее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«заказчик»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заказчика: Республика Саха (Якутия), г. Якутск, пр. Ленина 30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Разработчиком системы является ООО «Разработчик» (далее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«разработчик»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разработчика: Республика Саха (Якутия), г. Якутск, ул. Лермонтова 200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документов, на основании которых создается система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ДГ-11/0001 от 01.09.2020 г.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Плановые сроки начала и окончания работы по созданию системы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Плановые сроки начала по созданию «продукта» 01.09.2020 г.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Плановые сроки окончания работ по созданию «продукта» 31.05.2021 г.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Источники и порядок финансирования работ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Финансирование работ по созданию и внедрению «продукта» согласно договору ДГ-11/00001 от 01.09.2020 г. ведется за счет заказчика.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финансирования работ ведется согласно договору ДГ-11/00001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оформления и предъявления заказчику результатов работ по созданию системы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Определения обозначения и сокращения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2160"/>
        <w:gridCol w:w="6763"/>
        <w:tblGridChange w:id="0">
          <w:tblGrid>
            <w:gridCol w:w="648"/>
            <w:gridCol w:w="2160"/>
            <w:gridCol w:w="676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Сокращение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Расшифровка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Техническое задание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ЛВС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Локальная вычислительная сеть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7dp8vu" w:id="9"/>
      <w:bookmarkEnd w:id="9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 и цели создания (развития) системы.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Продукт предназначен для информационно-аналитического обеспечения «заказчика». Продукт должен </w:t>
      </w:r>
      <w:r w:rsidDel="00000000" w:rsidR="00000000" w:rsidRPr="00000000">
        <w:rPr>
          <w:sz w:val="24"/>
          <w:szCs w:val="24"/>
          <w:rtl w:val="0"/>
        </w:rPr>
        <w:t xml:space="preserve">должен хранить достижения спортсменов и сортировать их по времени, категории и количеству призовых мест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Продукт может быть использован в следующих отделах «заказчика»: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Отдел по работе с физическими лицами,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Администрация.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Перечисленные в пункте 2.1. данного ТЗ сотрудники отделов при осуществлении документооборота всегда имеют дело с</w:t>
      </w:r>
      <w:r w:rsidDel="00000000" w:rsidR="00000000" w:rsidRPr="00000000">
        <w:rPr>
          <w:sz w:val="24"/>
          <w:szCs w:val="24"/>
          <w:rtl w:val="0"/>
        </w:rPr>
        <w:t xml:space="preserve"> достижениями спортсменов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которые необходимо дублировать в текстовом эквиваленте. При формировании текста вручную неизбежно возникают грамматические и иные ошибки, которые могут неблагоприятно повлиять на имидж </w:t>
      </w:r>
      <w:r w:rsidDel="00000000" w:rsidR="00000000" w:rsidRPr="00000000">
        <w:rPr>
          <w:sz w:val="24"/>
          <w:szCs w:val="24"/>
          <w:rtl w:val="0"/>
        </w:rPr>
        <w:t xml:space="preserve">заказчика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или стать причиной иных последствий.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Целями данного продукта являются: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Повышение качества составления документов,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Уменьшение затрат времени на составление документов,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Возможность участников просмотра своих результатов до их публикации.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Характеристика объектов автоматизации.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об объекте автоматизации.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Объектом автоматизации являются процесс документооборота «заказчика». Данный процесс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осуществляется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специалистами следующих отделов: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Отдел по работе с физическими лицами,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Администрация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Существующее программное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момент составления данного ТЗ внедрены следующие информационные системы: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Sports.ru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разработана и внедрена </w:t>
      </w:r>
      <w:r w:rsidDel="00000000" w:rsidR="00000000" w:rsidRPr="00000000">
        <w:rPr>
          <w:sz w:val="24"/>
          <w:szCs w:val="24"/>
          <w:rtl w:val="0"/>
        </w:rPr>
        <w:t xml:space="preserve">«Sports.ru».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айт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предоставляет главные спортивные новости, подробную статистику по турнирам.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54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сайте можно узнать экспресс результаты по матчам.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«Чемпионат»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Система разработана «Rambler&amp;Co».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освещает крупные турниры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 всему миру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Система</w:t>
      </w:r>
      <w:r w:rsidDel="00000000" w:rsidR="00000000" w:rsidRPr="00000000">
        <w:rPr>
          <w:sz w:val="24"/>
          <w:szCs w:val="24"/>
          <w:rtl w:val="0"/>
        </w:rPr>
        <w:t xml:space="preserve"> составляет календарные и турнирные таблицы результатов, а также персональную статистику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«TheS</w:t>
      </w:r>
      <w:r w:rsidDel="00000000" w:rsidR="00000000" w:rsidRPr="00000000">
        <w:rPr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Система разработана и внедрена </w:t>
      </w:r>
      <w:r w:rsidDel="00000000" w:rsidR="00000000" w:rsidRPr="00000000">
        <w:rPr>
          <w:sz w:val="24"/>
          <w:szCs w:val="24"/>
          <w:rtl w:val="0"/>
        </w:rPr>
        <w:t xml:space="preserve">«TheScore, Inc.».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за фаворитами(команды, спортсмены, лиги и т.п.).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54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Обновление таблицы результатов в реальном времени.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Существующее техническое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момент составления данного ТЗ заказчик обладал следующим компьютерным парком: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Рабочие станции: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Intel Core™ i3-3220, 3,30 ГГц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4 ГБ ОЗУ, 512ГБ HDD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об условиях эксплуатации объекта автоматизации и характеристиках окружающей среды.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44sinio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системе.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2jxsxqh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системе в целом;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z337ya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структуре и функционированию системы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" w:right="0" w:hanging="6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подсистем и их назначение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состоять из двух подсистем: серверного и клиентского приложений.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 серверного приложения: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 хранить учетные записи пользователей для предоставления доступа к сервису.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 клиентского приложения: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3j2qqm3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Должен предоставлять доступ к сервису.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" w:right="0" w:hanging="6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средствам связи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" w:right="0" w:hanging="6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Режимы функционирования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Сервер может находиться в одном из двух состояний: Ожидание запроса и обработка запроса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i7ojh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" w:right="0" w:hanging="6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Перспективы развития и модернизации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xcytpi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численности и квалификации персонала системы и режиму его работы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Численность персонала должна удовлетворять требованиям: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быть достаточной для реализации автоматизированных функций системы во всех режимах работы;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ci93xb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обеспечивать полную занятость персонала при реализации автоматизированных функций системы.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whwml4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Надежность продукта должна быть соответствующего уровня для обеспечения бесперебойной работы продукта.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безопасности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bn6wsx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  <w:br w:type="textWrapping"/>
        <w:t xml:space="preserve"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  <w:br w:type="textWrapping"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эргономике и технической эстетике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qsh70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as4poj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эксплуатации, техническому обслуживанию, ремонту и хранению компонентов системы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" w:right="0" w:hanging="6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Регламент эксплуатации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pxezwc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Продукт используется сотрудниками заказчика на постоянной основе.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" w:right="0" w:hanging="6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допустимым площадям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9x2ik5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«Заказчик» должен предоставить место для размещения дополнительного сервера.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" w:right="0" w:hanging="6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2p2csry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регламенту обслуживания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47n2zr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o7alnk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по сохранности информации при авариях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технического комплекса Заказчика.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3ckvvd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сервера и рабочие станции сотрудников должны обеспечиваться ИБП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защите от влияния внешних воздействий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ihv636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Защита от влияния внешних факторов должна осуществляться штатными средствами защиты «заказчика».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патентной чистоте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2hioqz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по стандартизации и унификации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hmsyys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стандартизации и унификации не предъявляются.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видам обеспечения.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41mghml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Математическое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перевода чисел в текст –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шифрации паролей – соответствует требованиям стандарта ГОСТ и ISO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grqrue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Информационное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Состав, структура и способы организации данных в системе должны быть определены на этапе технического проектирования.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vx1227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Лингвистическое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" w:right="0" w:hanging="6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fwokq0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применению языков программирования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разработки системы могут быть применены языки программирования высокого уровня: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С++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Pascal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Pascal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Fortran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т.д.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v1yuxt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" w:right="0" w:hanging="6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кодированию данных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кодировании данных будут использоваться стили, принятые у компании разработчика.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f1mdlm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" w:right="0" w:hanging="6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языкам ввода-вывода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u6wntf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" w:right="0" w:hanging="6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языкам манипулирования данными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9c6y18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Манипулирование данными в СУБД должно осуществляться с помощью языка SQL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" w:right="0" w:hanging="6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средствам описания предметной области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анализе и описании предметной области должно использоваться один из следующих языков нотаций: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IDEF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UML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tbugp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3" w:right="0" w:hanging="6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способам организации диалога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организации интерфейса пользователя с «продуктом» должен использоваться русский язык или опционально якутский язык.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8h4qw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Программное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Продукт должен работать под управлением ОС семейства Windows. В качества СУБД может быть использовано одно из следующих программных продуктов: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SQL Server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Sybase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Всю ответственность за патентную и лицензионную чистоту полностью возлагается на «заказчика».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bookmarkStart w:colFirst="0" w:colLast="0" w:name="_nmf14n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bookmarkStart w:colFirst="0" w:colLast="0" w:name="_wtnde3lbf6me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bookmarkStart w:colFirst="0" w:colLast="0" w:name="_tax8lvq2d6fq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bookmarkStart w:colFirst="0" w:colLast="0" w:name="_38umrr56bfd7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bookmarkStart w:colFirst="0" w:colLast="0" w:name="_luil3vf6lgun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bookmarkStart w:colFirst="0" w:colLast="0" w:name="_kqaonh9o4ss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bookmarkStart w:colFirst="0" w:colLast="0" w:name="_7irmmggpo3sn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состав комплекса должны следующие технические средства: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Серверы БД;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ПК пользователей;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ПК администраторов.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техническим характеристикам серверов БД: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Процессор – 2 х Intel Xeon 3 ГГц;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Объем оперативной памяти – 16 Гб;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Дисковая подсистема – 4 х 146 Гб;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Устройство чтения компакт-дисков (DVD-ROM);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Сетевой адаптер – 100/1000 Мбит.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техническим характеристикам ПК пользователя и ПК администратора: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Процессор – Intel Pentium 2.4 ГГц;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Объем оперативной памяти – 1024 Мб;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Дисковая подсистема – 80 Гб;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Устройство чтения компакт-дисков (DVD-ROM);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Сетевой адаптер – 100/1000 Мбит.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7m2jsg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" w:right="0" w:hanging="5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Организационное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Заказчиком должны быть определены должностные лица, ответственные за: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администрирование;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обеспечение безопасности информации;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mrcu09" w:id="54"/>
      <w:bookmarkEnd w:id="5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 и содержание работ по созданию системы.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4320"/>
        <w:gridCol w:w="4423"/>
        <w:tblGridChange w:id="0">
          <w:tblGrid>
            <w:gridCol w:w="828"/>
            <w:gridCol w:w="4320"/>
            <w:gridCol w:w="44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работ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работ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Предпроектные исследования, обоснование необходимости создания «продукта».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ТЭО, Отчет НИР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и утверждение технического задания на создание продукта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Техническое задание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Техническое проектирование. Анализ предметной области. Разработка диаграмм IDEF 0, IDEF 1 и IDEF 1.X.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Диаграммы IDEF, отчет анализа предметной области, функциональная спецификация. Детальный план работ.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Рабочее проектирование. Создание интерфейса. Разработка бизнес логики, базы данных.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Готовый «продукт». Техническая и пользовательская документация.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и настройка готового продукта, новых серверов и компьютеров пользователей.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Акт приемки-передачи</w:t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46r0co2" w:id="55"/>
      <w:bookmarkEnd w:id="55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контроля и приемки системы.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Приемка готового «продукта» осуществляется комиссией. Со стороны «заказчика» в комиссию входят: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Министр,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Первый зам. министра,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Зам.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министра,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Глав. судья,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Начальник отдела автоматизации.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2lwamvv" w:id="56"/>
      <w:bookmarkEnd w:id="56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составу и содержанию работ по подготовке объекта автоматизации к вводу системы в действие.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подразделение и ответственных должностных лиц, ответственных за внедрение и проведение опытной эксплуатации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Обеспечить присутствие пользователей на обучении работе с системой, проводимом Разработчиком;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Совместно с Разработчиком подготовить план развертывания системы на технических средствах Заказчика;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опытную эксплуатацию продукта.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11kx3o" w:id="57"/>
      <w:bookmarkEnd w:id="57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документированию.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Вместе с продуктом заказчику должны быть переданы следующая документация: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Техническая документация: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Диаграммы IDEF0,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Диаграммы IDEF1,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Диаграммы IDEF1.Х,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Функциональная спецификация,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форматов данных,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алгоритмов.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Пользовательская документация</w:t>
      </w:r>
    </w:p>
    <w:sectPr>
      <w:footerReference r:id="rId6" w:type="default"/>
      <w:footerReference r:id="rId7" w:type="even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)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