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CloudGuard Conference Manuscript Guide</w:t>
      </w:r>
    </w:p>
    <w:p>
      <w:pPr>
        <w:jc w:val="center"/>
      </w:pPr>
      <w:r>
        <w:rPr>
          <w:i/>
        </w:rPr>
        <w:t>Supervisor review document for the AWS Infrastructure as Code project</w:t>
      </w:r>
    </w:p>
    <w:p>
      <w:r>
        <w:t>This guide explains the CloudGuard conference manuscript in plain language. It is intended for supervisor review and presentation preparation. The manuscript describes the implemented project and separates measured evidence from future work.</w:t>
      </w:r>
    </w:p>
    <w:p>
      <w:pPr>
        <w:pStyle w:val="Heading1"/>
      </w:pPr>
      <w:r>
        <w:t>1 Project Identity</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4968"/>
        <w:gridCol w:w="4968"/>
      </w:tblGrid>
      <w:tr>
        <w:tc>
          <w:tcPr>
            <w:tcW w:type="dxa" w:w="4968"/>
            <w:shd w:fill="1F4E79"/>
            <w:vAlign w:val="center"/>
          </w:tcPr>
          <w:p>
            <w:r>
              <w:rPr>
                <w:b/>
                <w:color w:val="FFFFFF"/>
              </w:rPr>
              <w:t>Item</w:t>
            </w:r>
          </w:p>
        </w:tc>
        <w:tc>
          <w:tcPr>
            <w:tcW w:type="dxa" w:w="4968"/>
            <w:shd w:fill="1F4E79"/>
            <w:vAlign w:val="center"/>
          </w:tcPr>
          <w:p>
            <w:r>
              <w:rPr>
                <w:b/>
                <w:color w:val="FFFFFF"/>
              </w:rPr>
              <w:t>Current project information</w:t>
            </w:r>
          </w:p>
        </w:tc>
      </w:tr>
      <w:tr>
        <w:tc>
          <w:tcPr>
            <w:tcW w:type="dxa" w:w="4968"/>
            <w:vAlign w:val="center"/>
            <w:shd w:fill="F4F7FB"/>
          </w:tcPr>
          <w:p>
            <w:r>
              <w:t>Title</w:t>
            </w:r>
          </w:p>
        </w:tc>
        <w:tc>
          <w:tcPr>
            <w:tcW w:type="dxa" w:w="4968"/>
            <w:vAlign w:val="center"/>
            <w:shd w:fill="F4F7FB"/>
          </w:tcPr>
          <w:p>
            <w:r>
              <w:t>CloudGuard: Explainable Policy Violation Detection, Deterministic Repair, and Deployment Gating for AWS Infrastructure as Code</w:t>
            </w:r>
          </w:p>
        </w:tc>
      </w:tr>
      <w:tr>
        <w:tc>
          <w:tcPr>
            <w:tcW w:type="dxa" w:w="4968"/>
            <w:vAlign w:val="center"/>
          </w:tcPr>
          <w:p>
            <w:r>
              <w:t>Domain</w:t>
            </w:r>
          </w:p>
        </w:tc>
        <w:tc>
          <w:tcPr>
            <w:tcW w:type="dxa" w:w="4968"/>
            <w:vAlign w:val="center"/>
          </w:tcPr>
          <w:p>
            <w:r>
              <w:t>Cloud security and Infrastructure as Code analysis</w:t>
            </w:r>
          </w:p>
        </w:tc>
      </w:tr>
      <w:tr>
        <w:tc>
          <w:tcPr>
            <w:tcW w:type="dxa" w:w="4968"/>
            <w:vAlign w:val="center"/>
            <w:shd w:fill="F4F7FB"/>
          </w:tcPr>
          <w:p>
            <w:r>
              <w:t>Input formats</w:t>
            </w:r>
          </w:p>
        </w:tc>
        <w:tc>
          <w:tcPr>
            <w:tcW w:type="dxa" w:w="4968"/>
            <w:vAlign w:val="center"/>
            <w:shd w:fill="F4F7FB"/>
          </w:tcPr>
          <w:p>
            <w:r>
              <w:t>AWS Terraform and AWS CloudFormation</w:t>
            </w:r>
          </w:p>
        </w:tc>
      </w:tr>
      <w:tr>
        <w:tc>
          <w:tcPr>
            <w:tcW w:type="dxa" w:w="4968"/>
            <w:vAlign w:val="center"/>
          </w:tcPr>
          <w:p>
            <w:r>
              <w:t>Output</w:t>
            </w:r>
          </w:p>
        </w:tc>
        <w:tc>
          <w:tcPr>
            <w:tcW w:type="dxa" w:w="4968"/>
            <w:vAlign w:val="center"/>
          </w:tcPr>
          <w:p>
            <w:r>
              <w:t>Policy findings, severity, heuristic score, remediation guidance, repair preview, re-scan result, and ALLOW or BLOCK gate</w:t>
            </w:r>
          </w:p>
        </w:tc>
      </w:tr>
      <w:tr>
        <w:tc>
          <w:tcPr>
            <w:tcW w:type="dxa" w:w="4968"/>
            <w:vAlign w:val="center"/>
            <w:shd w:fill="F4F7FB"/>
          </w:tcPr>
          <w:p>
            <w:r>
              <w:t>Base paper</w:t>
            </w:r>
          </w:p>
        </w:tc>
        <w:tc>
          <w:tcPr>
            <w:tcW w:type="dxa" w:w="4968"/>
            <w:vAlign w:val="center"/>
            <w:shd w:fill="F4F7FB"/>
          </w:tcPr>
          <w:p>
            <w:r>
              <w:t>Minna et al., Automated analysis of security policy violations in Helm charts</w:t>
            </w:r>
          </w:p>
        </w:tc>
      </w:tr>
      <w:tr>
        <w:tc>
          <w:tcPr>
            <w:tcW w:type="dxa" w:w="4968"/>
            <w:vAlign w:val="center"/>
          </w:tcPr>
          <w:p>
            <w:r>
              <w:t>Scope boundary</w:t>
            </w:r>
          </w:p>
        </w:tc>
        <w:tc>
          <w:tcPr>
            <w:tcW w:type="dxa" w:w="4968"/>
            <w:vAlign w:val="center"/>
          </w:tcPr>
          <w:p>
            <w:r>
              <w:t>No Helm or Kubernetes implementation; no direct AWS deployment</w:t>
            </w:r>
          </w:p>
        </w:tc>
      </w:tr>
    </w:tbl>
    <w:p>
      <w:pPr>
        <w:pStyle w:val="Heading1"/>
      </w:pPr>
      <w:r>
        <w:t>2 Abstract Explanation</w:t>
      </w:r>
    </w:p>
    <w:p>
      <w:r>
        <w:t>The abstract says what problem CloudGuard addresses, how the prototype works, what was measured, and what the result means. The reported result is intentionally qualified: 50 synthetic manifests and 70 policy-instance labels produced 30 true positives, 0 false positives, 0 false negatives, and 40 true negatives. The resulting precision, recall, and F1 are 1.0000, but this is an implementation sanity result because the benchmark was designed around the same five rules.</w:t>
      </w:r>
    </w:p>
    <w:p>
      <w:pPr>
        <w:pStyle w:val="Heading1"/>
      </w:pPr>
      <w:r>
        <w:t>3 Problem and Research Gap</w:t>
      </w:r>
    </w:p>
    <w:p>
      <w:r>
        <w:t>IaC makes cloud configuration repeatable, but unsafe settings can also be repeated. Existing scanners can identify problems, yet developers still need a traceable answer to four questions: which policy is violated, why it matters, what change is suggested, and whether the proposed configuration should be allowed to continue.</w:t>
      </w:r>
    </w:p>
    <w:p>
      <w:r>
        <w:t>CloudGuard addresses this narrow workflow gap by connecting policy detection, explainable risk prioritization, constrained repair, re-scanning, and deployment gating for AWS Terraform and CloudFormation. This is a practical integration contribution, not a claim that five rules provide complete cloud security.</w:t>
      </w:r>
    </w:p>
    <w:p>
      <w:pPr>
        <w:pStyle w:val="Heading1"/>
      </w:pPr>
      <w:r>
        <w:t>4 System Architecture</w:t>
      </w:r>
    </w:p>
    <w:p>
      <w:pPr>
        <w:pStyle w:val="ListNumber"/>
      </w:pPr>
      <w:r>
        <w:t>The user uploads or pastes a Terraform or CloudFormation file.</w:t>
      </w:r>
    </w:p>
    <w:p>
      <w:pPr>
        <w:pStyle w:val="ListNumber"/>
      </w:pPr>
      <w:r>
        <w:t>The browser applies five deterministic policy checks.</w:t>
      </w:r>
    </w:p>
    <w:p>
      <w:pPr>
        <w:pStyle w:val="ListNumber"/>
      </w:pPr>
      <w:r>
        <w:t>Each match becomes a policy-instance finding with a stable SID, severity, evidence, and score deduction.</w:t>
      </w:r>
    </w:p>
    <w:p>
      <w:pPr>
        <w:pStyle w:val="ListNumber"/>
      </w:pPr>
      <w:r>
        <w:t>CloudGuard offers a safe repair preview when the replacement is deterministic.</w:t>
      </w:r>
    </w:p>
    <w:p>
      <w:pPr>
        <w:pStyle w:val="ListNumber"/>
      </w:pPr>
      <w:r>
        <w:t>Ambiguous security-group and IAM changes remain manual-review cases with copyable guidance.</w:t>
      </w:r>
    </w:p>
    <w:p>
      <w:pPr>
        <w:pStyle w:val="ListNumber"/>
      </w:pPr>
      <w:r>
        <w:t>The repaired source is re-scanned.</w:t>
      </w:r>
    </w:p>
    <w:p>
      <w:pPr>
        <w:pStyle w:val="ListNumber"/>
      </w:pPr>
      <w:r>
        <w:t>The deployment policy evaluates the selected severity threshold and returns ALLOW or BLOCK.</w:t>
      </w:r>
    </w:p>
    <w:p>
      <w:r>
        <w:t>The gate is a review or CI decision. It does not deploy to AWS and does not replace Terraform plan validation or CloudFormation validation.</w:t>
      </w:r>
    </w:p>
    <w:p>
      <w:pPr>
        <w:pStyle w:val="Heading1"/>
      </w:pPr>
      <w:r>
        <w:t>5 Implemented Policy Set</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484"/>
        <w:gridCol w:w="2484"/>
        <w:gridCol w:w="2484"/>
        <w:gridCol w:w="2484"/>
      </w:tblGrid>
      <w:tr>
        <w:tc>
          <w:tcPr>
            <w:tcW w:type="dxa" w:w="2484"/>
            <w:shd w:fill="1F4E79"/>
            <w:vAlign w:val="center"/>
          </w:tcPr>
          <w:p>
            <w:r>
              <w:rPr>
                <w:b/>
                <w:color w:val="FFFFFF"/>
              </w:rPr>
              <w:t>Policy SID</w:t>
            </w:r>
          </w:p>
        </w:tc>
        <w:tc>
          <w:tcPr>
            <w:tcW w:type="dxa" w:w="2484"/>
            <w:shd w:fill="1F4E79"/>
            <w:vAlign w:val="center"/>
          </w:tcPr>
          <w:p>
            <w:r>
              <w:rPr>
                <w:b/>
                <w:color w:val="FFFFFF"/>
              </w:rPr>
              <w:t>Condition</w:t>
            </w:r>
          </w:p>
        </w:tc>
        <w:tc>
          <w:tcPr>
            <w:tcW w:type="dxa" w:w="2484"/>
            <w:shd w:fill="1F4E79"/>
            <w:vAlign w:val="center"/>
          </w:tcPr>
          <w:p>
            <w:r>
              <w:rPr>
                <w:b/>
                <w:color w:val="FFFFFF"/>
              </w:rPr>
              <w:t>Severity</w:t>
            </w:r>
          </w:p>
        </w:tc>
        <w:tc>
          <w:tcPr>
            <w:tcW w:type="dxa" w:w="2484"/>
            <w:shd w:fill="1F4E79"/>
            <w:vAlign w:val="center"/>
          </w:tcPr>
          <w:p>
            <w:r>
              <w:rPr>
                <w:b/>
                <w:color w:val="FFFFFF"/>
              </w:rPr>
              <w:t>Repair behavior</w:t>
            </w:r>
          </w:p>
        </w:tc>
      </w:tr>
      <w:tr>
        <w:tc>
          <w:tcPr>
            <w:tcW w:type="dxa" w:w="2484"/>
            <w:vAlign w:val="center"/>
            <w:shd w:fill="F4F7FB"/>
          </w:tcPr>
          <w:p>
            <w:r>
              <w:t>POL_AWS_S3_PUBLIC</w:t>
            </w:r>
          </w:p>
        </w:tc>
        <w:tc>
          <w:tcPr>
            <w:tcW w:type="dxa" w:w="2484"/>
            <w:vAlign w:val="center"/>
            <w:shd w:fill="F4F7FB"/>
          </w:tcPr>
          <w:p>
            <w:r>
              <w:t>Public S3 access</w:t>
            </w:r>
          </w:p>
        </w:tc>
        <w:tc>
          <w:tcPr>
            <w:tcW w:type="dxa" w:w="2484"/>
            <w:vAlign w:val="center"/>
            <w:shd w:fill="F4F7FB"/>
          </w:tcPr>
          <w:p>
            <w:r>
              <w:t>Critical</w:t>
            </w:r>
          </w:p>
        </w:tc>
        <w:tc>
          <w:tcPr>
            <w:tcW w:type="dxa" w:w="2484"/>
            <w:vAlign w:val="center"/>
            <w:shd w:fill="F4F7FB"/>
          </w:tcPr>
          <w:p>
            <w:r>
              <w:t>Deterministic preview where the safe access-block change is known</w:t>
            </w:r>
          </w:p>
        </w:tc>
      </w:tr>
      <w:tr>
        <w:tc>
          <w:tcPr>
            <w:tcW w:type="dxa" w:w="2484"/>
            <w:vAlign w:val="center"/>
          </w:tcPr>
          <w:p>
            <w:r>
              <w:t>POL_AWS_RDS_PUBLIC</w:t>
            </w:r>
          </w:p>
        </w:tc>
        <w:tc>
          <w:tcPr>
            <w:tcW w:type="dxa" w:w="2484"/>
            <w:vAlign w:val="center"/>
          </w:tcPr>
          <w:p>
            <w:r>
              <w:t>Public RDS access</w:t>
            </w:r>
          </w:p>
        </w:tc>
        <w:tc>
          <w:tcPr>
            <w:tcW w:type="dxa" w:w="2484"/>
            <w:vAlign w:val="center"/>
          </w:tcPr>
          <w:p>
            <w:r>
              <w:t>Critical</w:t>
            </w:r>
          </w:p>
        </w:tc>
        <w:tc>
          <w:tcPr>
            <w:tcW w:type="dxa" w:w="2484"/>
            <w:vAlign w:val="center"/>
          </w:tcPr>
          <w:p>
            <w:r>
              <w:t>Preview changes public access to false</w:t>
            </w:r>
          </w:p>
        </w:tc>
      </w:tr>
      <w:tr>
        <w:tc>
          <w:tcPr>
            <w:tcW w:type="dxa" w:w="2484"/>
            <w:vAlign w:val="center"/>
            <w:shd w:fill="F4F7FB"/>
          </w:tcPr>
          <w:p>
            <w:r>
              <w:t>POL_AWS_SG_UNRESTRICTED</w:t>
            </w:r>
          </w:p>
        </w:tc>
        <w:tc>
          <w:tcPr>
            <w:tcW w:type="dxa" w:w="2484"/>
            <w:vAlign w:val="center"/>
            <w:shd w:fill="F4F7FB"/>
          </w:tcPr>
          <w:p>
            <w:r>
              <w:t>0.0.0.0/0 or equivalent unrestricted ingress</w:t>
            </w:r>
          </w:p>
        </w:tc>
        <w:tc>
          <w:tcPr>
            <w:tcW w:type="dxa" w:w="2484"/>
            <w:vAlign w:val="center"/>
            <w:shd w:fill="F4F7FB"/>
          </w:tcPr>
          <w:p>
            <w:r>
              <w:t>High</w:t>
            </w:r>
          </w:p>
        </w:tc>
        <w:tc>
          <w:tcPr>
            <w:tcW w:type="dxa" w:w="2484"/>
            <w:vAlign w:val="center"/>
            <w:shd w:fill="F4F7FB"/>
          </w:tcPr>
          <w:p>
            <w:r>
              <w:t>Manual guidance for approved CIDR or security-group reference</w:t>
            </w:r>
          </w:p>
        </w:tc>
      </w:tr>
      <w:tr>
        <w:tc>
          <w:tcPr>
            <w:tcW w:type="dxa" w:w="2484"/>
            <w:vAlign w:val="center"/>
          </w:tcPr>
          <w:p>
            <w:r>
              <w:t>POL_AWS_IAM_WILDCARD</w:t>
            </w:r>
          </w:p>
        </w:tc>
        <w:tc>
          <w:tcPr>
            <w:tcW w:type="dxa" w:w="2484"/>
            <w:vAlign w:val="center"/>
          </w:tcPr>
          <w:p>
            <w:r>
              <w:t>Wildcard IAM action</w:t>
            </w:r>
          </w:p>
        </w:tc>
        <w:tc>
          <w:tcPr>
            <w:tcW w:type="dxa" w:w="2484"/>
            <w:vAlign w:val="center"/>
          </w:tcPr>
          <w:p>
            <w:r>
              <w:t>High</w:t>
            </w:r>
          </w:p>
        </w:tc>
        <w:tc>
          <w:tcPr>
            <w:tcW w:type="dxa" w:w="2484"/>
            <w:vAlign w:val="center"/>
          </w:tcPr>
          <w:p>
            <w:r>
              <w:t>Manual guidance for least-privilege action set</w:t>
            </w:r>
          </w:p>
        </w:tc>
      </w:tr>
      <w:tr>
        <w:tc>
          <w:tcPr>
            <w:tcW w:type="dxa" w:w="2484"/>
            <w:vAlign w:val="center"/>
            <w:shd w:fill="F4F7FB"/>
          </w:tcPr>
          <w:p>
            <w:r>
              <w:t>POL_AWS_RDS_ENCRYPTION</w:t>
            </w:r>
          </w:p>
        </w:tc>
        <w:tc>
          <w:tcPr>
            <w:tcW w:type="dxa" w:w="2484"/>
            <w:vAlign w:val="center"/>
            <w:shd w:fill="F4F7FB"/>
          </w:tcPr>
          <w:p>
            <w:r>
              <w:t>Disabled RDS encryption</w:t>
            </w:r>
          </w:p>
        </w:tc>
        <w:tc>
          <w:tcPr>
            <w:tcW w:type="dxa" w:w="2484"/>
            <w:vAlign w:val="center"/>
            <w:shd w:fill="F4F7FB"/>
          </w:tcPr>
          <w:p>
            <w:r>
              <w:t>High</w:t>
            </w:r>
          </w:p>
        </w:tc>
        <w:tc>
          <w:tcPr>
            <w:tcW w:type="dxa" w:w="2484"/>
            <w:vAlign w:val="center"/>
            <w:shd w:fill="F4F7FB"/>
          </w:tcPr>
          <w:p>
            <w:r>
              <w:t>Preview changes encryption to enabled</w:t>
            </w:r>
          </w:p>
        </w:tc>
      </w:tr>
    </w:tbl>
    <w:p>
      <w:pPr>
        <w:pStyle w:val="Heading1"/>
      </w:pPr>
      <w:r>
        <w:t>6 Methodology</w:t>
      </w:r>
    </w:p>
    <w:p>
      <w:r>
        <w:t>CloudGuard treats the policy instance as the unit of analysis. A policy instance records a file identifier, format, resource identifier, policy SID, expected violation label, and severity. This is more precise than counting only files because one file may contain several independent policy conditions.</w:t>
      </w:r>
    </w:p>
    <w:p>
      <w:r>
        <w:t>The score starts at 100 and subtracts CloudGuard-defined heuristic weights of 28, 25, 18, 18, and 14 for the five policies. These numbers are transparent prioritization weights, not official AWS values and not probabilities of compromise.</w:t>
      </w:r>
    </w:p>
    <w:p>
      <w:pPr>
        <w:pStyle w:val="Heading1"/>
      </w:pPr>
      <w:r>
        <w:t>7 Evidence and Results</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12"/>
        <w:gridCol w:w="3312"/>
        <w:gridCol w:w="3312"/>
      </w:tblGrid>
      <w:tr>
        <w:tc>
          <w:tcPr>
            <w:tcW w:type="dxa" w:w="3312"/>
            <w:shd w:fill="1F4E79"/>
            <w:vAlign w:val="center"/>
          </w:tcPr>
          <w:p>
            <w:r>
              <w:rPr>
                <w:b/>
                <w:color w:val="FFFFFF"/>
              </w:rPr>
              <w:t>Evidence item</w:t>
            </w:r>
          </w:p>
        </w:tc>
        <w:tc>
          <w:tcPr>
            <w:tcW w:type="dxa" w:w="3312"/>
            <w:shd w:fill="1F4E79"/>
            <w:vAlign w:val="center"/>
          </w:tcPr>
          <w:p>
            <w:r>
              <w:rPr>
                <w:b/>
                <w:color w:val="FFFFFF"/>
              </w:rPr>
              <w:t>Current value</w:t>
            </w:r>
          </w:p>
        </w:tc>
        <w:tc>
          <w:tcPr>
            <w:tcW w:type="dxa" w:w="3312"/>
            <w:shd w:fill="1F4E79"/>
            <w:vAlign w:val="center"/>
          </w:tcPr>
          <w:p>
            <w:r>
              <w:rPr>
                <w:b/>
                <w:color w:val="FFFFFF"/>
              </w:rPr>
              <w:t>What it supports</w:t>
            </w:r>
          </w:p>
        </w:tc>
      </w:tr>
      <w:tr>
        <w:tc>
          <w:tcPr>
            <w:tcW w:type="dxa" w:w="3312"/>
            <w:vAlign w:val="center"/>
            <w:shd w:fill="F4F7FB"/>
          </w:tcPr>
          <w:p>
            <w:r>
              <w:t>Frozen manifests</w:t>
            </w:r>
          </w:p>
        </w:tc>
        <w:tc>
          <w:tcPr>
            <w:tcW w:type="dxa" w:w="3312"/>
            <w:vAlign w:val="center"/>
            <w:shd w:fill="F4F7FB"/>
          </w:tcPr>
          <w:p>
            <w:r>
              <w:t>50 total: 25 Terraform and 25 CloudFormation</w:t>
            </w:r>
          </w:p>
        </w:tc>
        <w:tc>
          <w:tcPr>
            <w:tcW w:type="dxa" w:w="3312"/>
            <w:vAlign w:val="center"/>
            <w:shd w:fill="F4F7FB"/>
          </w:tcPr>
          <w:p>
            <w:r>
              <w:t>Reproducible prototype benchmark</w:t>
            </w:r>
          </w:p>
        </w:tc>
      </w:tr>
      <w:tr>
        <w:tc>
          <w:tcPr>
            <w:tcW w:type="dxa" w:w="3312"/>
            <w:vAlign w:val="center"/>
          </w:tcPr>
          <w:p>
            <w:r>
              <w:t>Policy-instance labels</w:t>
            </w:r>
          </w:p>
        </w:tc>
        <w:tc>
          <w:tcPr>
            <w:tcW w:type="dxa" w:w="3312"/>
            <w:vAlign w:val="center"/>
          </w:tcPr>
          <w:p>
            <w:r>
              <w:t>70</w:t>
            </w:r>
          </w:p>
        </w:tc>
        <w:tc>
          <w:tcPr>
            <w:tcW w:type="dxa" w:w="3312"/>
            <w:vAlign w:val="center"/>
          </w:tcPr>
          <w:p>
            <w:r>
              <w:t>Policy-level confusion matrix</w:t>
            </w:r>
          </w:p>
        </w:tc>
      </w:tr>
      <w:tr>
        <w:tc>
          <w:tcPr>
            <w:tcW w:type="dxa" w:w="3312"/>
            <w:vAlign w:val="center"/>
            <w:shd w:fill="F4F7FB"/>
          </w:tcPr>
          <w:p>
            <w:r>
              <w:t>TP / FP / FN / TN</w:t>
            </w:r>
          </w:p>
        </w:tc>
        <w:tc>
          <w:tcPr>
            <w:tcW w:type="dxa" w:w="3312"/>
            <w:vAlign w:val="center"/>
            <w:shd w:fill="F4F7FB"/>
          </w:tcPr>
          <w:p>
            <w:r>
              <w:t>30 / 0 / 0 / 40</w:t>
            </w:r>
          </w:p>
        </w:tc>
        <w:tc>
          <w:tcPr>
            <w:tcW w:type="dxa" w:w="3312"/>
            <w:vAlign w:val="center"/>
            <w:shd w:fill="F4F7FB"/>
          </w:tcPr>
          <w:p>
            <w:r>
              <w:t>CloudGuard sanity detection result</w:t>
            </w:r>
          </w:p>
        </w:tc>
      </w:tr>
      <w:tr>
        <w:tc>
          <w:tcPr>
            <w:tcW w:type="dxa" w:w="3312"/>
            <w:vAlign w:val="center"/>
          </w:tcPr>
          <w:p>
            <w:r>
              <w:t>Precision / Recall / F1</w:t>
            </w:r>
          </w:p>
        </w:tc>
        <w:tc>
          <w:tcPr>
            <w:tcW w:type="dxa" w:w="3312"/>
            <w:vAlign w:val="center"/>
          </w:tcPr>
          <w:p>
            <w:r>
              <w:t>1.0000 / 1.0000 / 1.0000</w:t>
            </w:r>
          </w:p>
        </w:tc>
        <w:tc>
          <w:tcPr>
            <w:tcW w:type="dxa" w:w="3312"/>
            <w:vAlign w:val="center"/>
          </w:tcPr>
          <w:p>
            <w:r>
              <w:t>Agreement on the frozen synthetic cases</w:t>
            </w:r>
          </w:p>
        </w:tc>
      </w:tr>
      <w:tr>
        <w:tc>
          <w:tcPr>
            <w:tcW w:type="dxa" w:w="3312"/>
            <w:vAlign w:val="center"/>
            <w:shd w:fill="F4F7FB"/>
          </w:tcPr>
          <w:p>
            <w:r>
              <w:t>Repair and gate tests</w:t>
            </w:r>
          </w:p>
        </w:tc>
        <w:tc>
          <w:tcPr>
            <w:tcW w:type="dxa" w:w="3312"/>
            <w:vAlign w:val="center"/>
            <w:shd w:fill="F4F7FB"/>
          </w:tcPr>
          <w:p>
            <w:r>
              <w:t>3 focused software tests</w:t>
            </w:r>
          </w:p>
        </w:tc>
        <w:tc>
          <w:tcPr>
            <w:tcW w:type="dxa" w:w="3312"/>
            <w:vAlign w:val="center"/>
            <w:shd w:fill="F4F7FB"/>
          </w:tcPr>
          <w:p>
            <w:r>
              <w:t>Implementation control flow</w:t>
            </w:r>
          </w:p>
        </w:tc>
      </w:tr>
    </w:tbl>
    <w:p>
      <w:r>
        <w:t>The current numbers do not prove generalization to unseen repositories, production accounts, or all Terraform and CloudFormation syntax. The manuscript says this directly so that the evidence is defensible during review.</w:t>
      </w:r>
    </w:p>
    <w:p>
      <w:pPr>
        <w:pStyle w:val="Heading1"/>
      </w:pPr>
      <w:r>
        <w:t>8 What the Paper Does Not Claim</w:t>
      </w:r>
    </w:p>
    <w:p>
      <w:pPr>
        <w:pStyle w:val="ListBullet"/>
      </w:pPr>
      <w:r>
        <w:t>It does not claim perfect security detection in general.</w:t>
      </w:r>
    </w:p>
    <w:p>
      <w:pPr>
        <w:pStyle w:val="ListBullet"/>
      </w:pPr>
      <w:r>
        <w:t>It does not claim comparison superiority over Checkov, KICS, or Trivy.</w:t>
      </w:r>
    </w:p>
    <w:p>
      <w:pPr>
        <w:pStyle w:val="ListBullet"/>
      </w:pPr>
      <w:r>
        <w:t>It does not claim independent expert annotation or Cohen's kappa.</w:t>
      </w:r>
    </w:p>
    <w:p>
      <w:pPr>
        <w:pStyle w:val="ListBullet"/>
      </w:pPr>
      <w:r>
        <w:t>It does not claim an independent expert-consensus NDCG study.</w:t>
      </w:r>
    </w:p>
    <w:p>
      <w:pPr>
        <w:pStyle w:val="ListBullet"/>
      </w:pPr>
      <w:r>
        <w:t>It does not claim automatic AST-based repair for arbitrary IaC.</w:t>
      </w:r>
    </w:p>
    <w:p>
      <w:pPr>
        <w:pStyle w:val="ListBullet"/>
      </w:pPr>
      <w:r>
        <w:t>It does not claim a human-participant usability study.</w:t>
      </w:r>
    </w:p>
    <w:p>
      <w:pPr>
        <w:pStyle w:val="ListBullet"/>
      </w:pPr>
      <w:r>
        <w:t>It does not claim that ALLOW guarantees a real AWS deployment is safe.</w:t>
      </w:r>
    </w:p>
    <w:p>
      <w:pPr>
        <w:pStyle w:val="Heading1"/>
      </w:pPr>
      <w:r>
        <w:t>9 Reproducibility Instructions</w:t>
      </w:r>
    </w:p>
    <w:p>
      <w:r>
        <w:t>The supervisor can verify the artifact package using the following sequence:</w:t>
      </w:r>
    </w:p>
    <w:p>
      <w:pPr>
        <w:pStyle w:val="ListNumber"/>
      </w:pPr>
      <w:r>
        <w:t>Open the public repository: https://github.com/duday8329-ai/cloudguard-research</w:t>
      </w:r>
    </w:p>
    <w:p>
      <w:pPr>
        <w:pStyle w:val="ListNumber"/>
      </w:pPr>
      <w:r>
        <w:t>Inspect benchmark/, annotations/, mappings/, results/, scripts/, and tests/.</w:t>
      </w:r>
    </w:p>
    <w:p>
      <w:pPr>
        <w:pStyle w:val="ListNumber"/>
      </w:pPr>
      <w:r>
        <w:t>Run the repository reproduction script from the project root.</w:t>
      </w:r>
    </w:p>
    <w:p>
      <w:pPr>
        <w:pStyle w:val="ListNumber"/>
      </w:pPr>
      <w:r>
        <w:t>Check that the generated confusion matrix contains 30 TP, 0 FP, 0 FN, and 40 TN.</w:t>
      </w:r>
    </w:p>
    <w:p>
      <w:pPr>
        <w:pStyle w:val="ListNumber"/>
      </w:pPr>
      <w:r>
        <w:t>Run the focused repair and deployment-gate tests.</w:t>
      </w:r>
    </w:p>
    <w:p>
      <w:pPr>
        <w:pStyle w:val="ListNumber"/>
      </w:pPr>
      <w:r>
        <w:t>Open the application at https://cloudgaurd.netlify.app/ and load a sample Terraform or CloudFormation file.</w:t>
      </w:r>
    </w:p>
    <w:p>
      <w:pPr>
        <w:pStyle w:val="ListNumber"/>
      </w:pPr>
      <w:r>
        <w:t>Confirm that a finding can be viewed, repaired when supported, re-scanned, and evaluated by the ALLOW/BLOCK gate.</w:t>
      </w:r>
    </w:p>
    <w:p>
      <w:pPr>
        <w:pStyle w:val="Heading1"/>
      </w:pPr>
      <w:r>
        <w:t>10 How to Explain the Contribution</w:t>
      </w:r>
    </w:p>
    <w:p>
      <w:r>
        <w:t>A concise explanation for the supervisor is: CloudGuard is an explainable AWS IaC security workflow. It maps source configurations to stable policy SIDs, shows why a finding matters, provides a constrained repair path, verifies the edited source by re-scanning, and blocks a proposed configuration when the selected policy threshold is exceeded. The current benchmark verifies the implementation on controlled synthetic mutations; broader empirical claims remain future work.</w:t>
      </w:r>
    </w:p>
    <w:p>
      <w:pPr>
        <w:pStyle w:val="Heading1"/>
      </w:pPr>
      <w:r>
        <w:t>11 Questions a Reviewer May Ask</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4968"/>
        <w:gridCol w:w="4968"/>
      </w:tblGrid>
      <w:tr>
        <w:tc>
          <w:tcPr>
            <w:tcW w:type="dxa" w:w="4968"/>
            <w:shd w:fill="1F4E79"/>
            <w:vAlign w:val="center"/>
          </w:tcPr>
          <w:p>
            <w:r>
              <w:rPr>
                <w:b/>
                <w:color w:val="FFFFFF"/>
              </w:rPr>
              <w:t>Question</w:t>
            </w:r>
          </w:p>
        </w:tc>
        <w:tc>
          <w:tcPr>
            <w:tcW w:type="dxa" w:w="4968"/>
            <w:shd w:fill="1F4E79"/>
            <w:vAlign w:val="center"/>
          </w:tcPr>
          <w:p>
            <w:r>
              <w:rPr>
                <w:b/>
                <w:color w:val="FFFFFF"/>
              </w:rPr>
              <w:t>Answer to give</w:t>
            </w:r>
          </w:p>
        </w:tc>
      </w:tr>
      <w:tr>
        <w:tc>
          <w:tcPr>
            <w:tcW w:type="dxa" w:w="4968"/>
            <w:vAlign w:val="center"/>
            <w:shd w:fill="F4F7FB"/>
          </w:tcPr>
          <w:p>
            <w:r>
              <w:t>Why not Helm or Kubernetes?</w:t>
            </w:r>
          </w:p>
        </w:tc>
        <w:tc>
          <w:tcPr>
            <w:tcW w:type="dxa" w:w="4968"/>
            <w:vAlign w:val="center"/>
            <w:shd w:fill="F4F7FB"/>
          </w:tcPr>
          <w:p>
            <w:r>
              <w:t>The project deliberately targets AWS Terraform and CloudFormation. Helm/Kubernetes is the domain of the base paper, not this implementation.</w:t>
            </w:r>
          </w:p>
        </w:tc>
      </w:tr>
      <w:tr>
        <w:tc>
          <w:tcPr>
            <w:tcW w:type="dxa" w:w="4968"/>
            <w:vAlign w:val="center"/>
          </w:tcPr>
          <w:p>
            <w:r>
              <w:t>Are the risk weights official AWS scores?</w:t>
            </w:r>
          </w:p>
        </w:tc>
        <w:tc>
          <w:tcPr>
            <w:tcW w:type="dxa" w:w="4968"/>
            <w:vAlign w:val="center"/>
          </w:tcPr>
          <w:p>
            <w:r>
              <w:t>No. They are transparent CloudGuard heuristic deductions for relative prioritization.</w:t>
            </w:r>
          </w:p>
        </w:tc>
      </w:tr>
      <w:tr>
        <w:tc>
          <w:tcPr>
            <w:tcW w:type="dxa" w:w="4968"/>
            <w:vAlign w:val="center"/>
            <w:shd w:fill="F4F7FB"/>
          </w:tcPr>
          <w:p>
            <w:r>
              <w:t>Does the system automatically repair every finding?</w:t>
            </w:r>
          </w:p>
        </w:tc>
        <w:tc>
          <w:tcPr>
            <w:tcW w:type="dxa" w:w="4968"/>
            <w:vAlign w:val="center"/>
            <w:shd w:fill="F4F7FB"/>
          </w:tcPr>
          <w:p>
            <w:r>
              <w:t>No. Safe deterministic patterns receive previews; ambiguous IAM and security-group cases require manual approval.</w:t>
            </w:r>
          </w:p>
        </w:tc>
      </w:tr>
      <w:tr>
        <w:tc>
          <w:tcPr>
            <w:tcW w:type="dxa" w:w="4968"/>
            <w:vAlign w:val="center"/>
          </w:tcPr>
          <w:p>
            <w:r>
              <w:t>Does BLOCK deploy or destroy anything?</w:t>
            </w:r>
          </w:p>
        </w:tc>
        <w:tc>
          <w:tcPr>
            <w:tcW w:type="dxa" w:w="4968"/>
            <w:vAlign w:val="center"/>
          </w:tcPr>
          <w:p>
            <w:r>
              <w:t>No. It is a local or CI-compatible decision gate before deployment.</w:t>
            </w:r>
          </w:p>
        </w:tc>
      </w:tr>
      <w:tr>
        <w:tc>
          <w:tcPr>
            <w:tcW w:type="dxa" w:w="4968"/>
            <w:vAlign w:val="center"/>
            <w:shd w:fill="F4F7FB"/>
          </w:tcPr>
          <w:p>
            <w:r>
              <w:t>Why is F1 equal to 1.0000?</w:t>
            </w:r>
          </w:p>
        </w:tc>
        <w:tc>
          <w:tcPr>
            <w:tcW w:type="dxa" w:w="4968"/>
            <w:vAlign w:val="center"/>
            <w:shd w:fill="F4F7FB"/>
          </w:tcPr>
          <w:p>
            <w:r>
              <w:t>The benchmark is synthetic and designed around the implemented rules, so the value is an optimistic sanity result.</w:t>
            </w:r>
          </w:p>
        </w:tc>
      </w:tr>
      <w:tr>
        <w:tc>
          <w:tcPr>
            <w:tcW w:type="dxa" w:w="4968"/>
            <w:vAlign w:val="center"/>
          </w:tcPr>
          <w:p>
            <w:r>
              <w:t>Did independent experts annotate the benchmark?</w:t>
            </w:r>
          </w:p>
        </w:tc>
        <w:tc>
          <w:tcPr>
            <w:tcW w:type="dxa" w:w="4968"/>
            <w:vAlign w:val="center"/>
          </w:tcPr>
          <w:p>
            <w:r>
              <w:t>No independent expert study is claimed. The labels were prepared by the project team using predefined criteria.</w:t>
            </w:r>
          </w:p>
        </w:tc>
      </w:tr>
    </w:tbl>
    <w:p>
      <w:pPr>
        <w:pStyle w:val="Heading1"/>
      </w:pPr>
      <w:r>
        <w:t>12 Final Submission Checklist</w:t>
      </w:r>
    </w:p>
    <w:p>
      <w:pPr>
        <w:pStyle w:val="ListBullet"/>
      </w:pPr>
      <w:r>
        <w:t>Use the official conference template if the target conference supplies one.</w:t>
      </w:r>
    </w:p>
    <w:p>
      <w:pPr>
        <w:pStyle w:val="ListBullet"/>
      </w:pPr>
      <w:r>
        <w:t>Replace placeholder conference and contact details only with verified information.</w:t>
      </w:r>
    </w:p>
    <w:p>
      <w:pPr>
        <w:pStyle w:val="ListBullet"/>
      </w:pPr>
      <w:r>
        <w:t>Check that all author names and university details are correct.</w:t>
      </w:r>
    </w:p>
    <w:p>
      <w:pPr>
        <w:pStyle w:val="ListBullet"/>
      </w:pPr>
      <w:r>
        <w:t>Verify that the repository is public and contains the artifacts named in the paper.</w:t>
      </w:r>
    </w:p>
    <w:p>
      <w:pPr>
        <w:pStyle w:val="ListBullet"/>
      </w:pPr>
      <w:r>
        <w:t>Run a plagiarism checker and revise any flagged wording after supervisor review.</w:t>
      </w:r>
    </w:p>
    <w:p>
      <w:pPr>
        <w:pStyle w:val="ListBullet"/>
      </w:pPr>
      <w:r>
        <w:t>Keep the limitations section in the submitted manuscript.</w:t>
      </w:r>
    </w:p>
    <w:p>
      <w:pPr>
        <w:pStyle w:val="ListBullet"/>
      </w:pPr>
      <w:r>
        <w:t>Do not restore unsupported historical numbers such as 120 manifests, 840 annotations, 318 violations, or kappa 0.92.</w:t>
      </w:r>
    </w:p>
    <w:p>
      <w:pPr>
        <w:pStyle w:val="Heading1"/>
      </w:pPr>
      <w:r>
        <w:t>13 Reference Paper Relationship</w:t>
      </w:r>
    </w:p>
    <w:p>
      <w:r>
        <w:t>The base paper motivates the need to analyze security-policy violations consistently and to compare policy semantics across tools in a Helm/Kubernetes setting. CloudGuard transfers the traceability idea to AWS Terraform and CloudFormation. The relationship is therefore conceptual and methodological; CloudGuard is not a reimplementation of the base paper's Helm system.</w:t>
      </w:r>
    </w:p>
    <w:p>
      <w:pPr>
        <w:pStyle w:val="Heading1"/>
      </w:pPr>
      <w:r>
        <w:t>14 Worked Benchmark Example</w:t>
      </w:r>
    </w:p>
    <w:p>
      <w:r>
        <w:t>The file tf_006 demonstrates how the benchmark decides expected_violation. Its Terraform source contains publicly_accessible = true and storage_encrypted = true.</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484"/>
        <w:gridCol w:w="2484"/>
        <w:gridCol w:w="2484"/>
        <w:gridCol w:w="2484"/>
      </w:tblGrid>
      <w:tr>
        <w:tc>
          <w:tcPr>
            <w:tcW w:type="dxa" w:w="2484"/>
            <w:shd w:fill="1F4E79"/>
            <w:vAlign w:val="center"/>
          </w:tcPr>
          <w:p>
            <w:r>
              <w:rPr>
                <w:b/>
                <w:color w:val="FFFFFF"/>
              </w:rPr>
              <w:t>Policy instance</w:t>
            </w:r>
          </w:p>
        </w:tc>
        <w:tc>
          <w:tcPr>
            <w:tcW w:type="dxa" w:w="2484"/>
            <w:shd w:fill="1F4E79"/>
            <w:vAlign w:val="center"/>
          </w:tcPr>
          <w:p>
            <w:r>
              <w:rPr>
                <w:b/>
                <w:color w:val="FFFFFF"/>
              </w:rPr>
              <w:t>Source condition</w:t>
            </w:r>
          </w:p>
        </w:tc>
        <w:tc>
          <w:tcPr>
            <w:tcW w:type="dxa" w:w="2484"/>
            <w:shd w:fill="1F4E79"/>
            <w:vAlign w:val="center"/>
          </w:tcPr>
          <w:p>
            <w:r>
              <w:rPr>
                <w:b/>
                <w:color w:val="FFFFFF"/>
              </w:rPr>
              <w:t>Expected value</w:t>
            </w:r>
          </w:p>
        </w:tc>
        <w:tc>
          <w:tcPr>
            <w:tcW w:type="dxa" w:w="2484"/>
            <w:shd w:fill="1F4E79"/>
            <w:vAlign w:val="center"/>
          </w:tcPr>
          <w:p>
            <w:r>
              <w:rPr>
                <w:b/>
                <w:color w:val="FFFFFF"/>
              </w:rPr>
              <w:t>Reason</w:t>
            </w:r>
          </w:p>
        </w:tc>
      </w:tr>
      <w:tr>
        <w:tc>
          <w:tcPr>
            <w:tcW w:type="dxa" w:w="2484"/>
            <w:vAlign w:val="center"/>
            <w:shd w:fill="F4F7FB"/>
          </w:tcPr>
          <w:p>
            <w:r>
              <w:t>POL_AWS_RDS_PUBLIC</w:t>
            </w:r>
          </w:p>
        </w:tc>
        <w:tc>
          <w:tcPr>
            <w:tcW w:type="dxa" w:w="2484"/>
            <w:vAlign w:val="center"/>
            <w:shd w:fill="F4F7FB"/>
          </w:tcPr>
          <w:p>
            <w:r>
              <w:t>publicly_accessible = true</w:t>
            </w:r>
          </w:p>
        </w:tc>
        <w:tc>
          <w:tcPr>
            <w:tcW w:type="dxa" w:w="2484"/>
            <w:vAlign w:val="center"/>
            <w:shd w:fill="F4F7FB"/>
          </w:tcPr>
          <w:p>
            <w:r>
              <w:t>1</w:t>
            </w:r>
          </w:p>
        </w:tc>
        <w:tc>
          <w:tcPr>
            <w:tcW w:type="dxa" w:w="2484"/>
            <w:vAlign w:val="center"/>
            <w:shd w:fill="F4F7FB"/>
          </w:tcPr>
          <w:p>
            <w:r>
              <w:t>The database is configured as publicly accessible</w:t>
            </w:r>
          </w:p>
        </w:tc>
      </w:tr>
      <w:tr>
        <w:tc>
          <w:tcPr>
            <w:tcW w:type="dxa" w:w="2484"/>
            <w:vAlign w:val="center"/>
          </w:tcPr>
          <w:p>
            <w:r>
              <w:t>POL_AWS_RDS_ENCRYPTION</w:t>
            </w:r>
          </w:p>
        </w:tc>
        <w:tc>
          <w:tcPr>
            <w:tcW w:type="dxa" w:w="2484"/>
            <w:vAlign w:val="center"/>
          </w:tcPr>
          <w:p>
            <w:r>
              <w:t>storage_encrypted = true</w:t>
            </w:r>
          </w:p>
        </w:tc>
        <w:tc>
          <w:tcPr>
            <w:tcW w:type="dxa" w:w="2484"/>
            <w:vAlign w:val="center"/>
          </w:tcPr>
          <w:p>
            <w:r>
              <w:t>0</w:t>
            </w:r>
          </w:p>
        </w:tc>
        <w:tc>
          <w:tcPr>
            <w:tcW w:type="dxa" w:w="2484"/>
            <w:vAlign w:val="center"/>
          </w:tcPr>
          <w:p>
            <w:r>
              <w:t>The safe encryption condition is present</w:t>
            </w:r>
          </w:p>
        </w:tc>
      </w:tr>
    </w:tbl>
    <w:p>
      <w:r>
        <w:t>The ground-truth value is decided before scanner comparison by applying the predefined policy criterion to the source. The scanners then produce predictions. For this file, CloudGuard, Checkov, KICS, and Trivy should all predict one for public RDS and zero for disabled encryption after their native rule IDs are mapped to the common CloudGuard SIDs.</w:t>
      </w:r>
    </w:p>
    <w:p>
      <w:pPr>
        <w:pStyle w:val="Heading1"/>
      </w:pPr>
      <w:r>
        <w:t>15 Scanner Comparison Process</w:t>
      </w:r>
    </w:p>
    <w:p>
      <w:pPr>
        <w:pStyle w:val="ListNumber"/>
      </w:pPr>
      <w:r>
        <w:t>Run every scanner on exactly the same frozen benchmark files.</w:t>
      </w:r>
    </w:p>
    <w:p>
      <w:pPr>
        <w:pStyle w:val="ListNumber"/>
      </w:pPr>
      <w:r>
        <w:t>Retain the tool version, command, raw JSON output, and scan date.</w:t>
      </w:r>
    </w:p>
    <w:p>
      <w:pPr>
        <w:pStyle w:val="ListNumber"/>
      </w:pPr>
      <w:r>
        <w:t>Map native rule IDs to CloudGuard SIDs only when their conditions are semantically equivalent.</w:t>
      </w:r>
    </w:p>
    <w:p>
      <w:pPr>
        <w:pStyle w:val="ListNumber"/>
      </w:pPr>
      <w:r>
        <w:t>Normalize every finding to file_id, resource_id, policy_sid, violation, and tool.</w:t>
      </w:r>
    </w:p>
    <w:p>
      <w:pPr>
        <w:pStyle w:val="ListNumber"/>
      </w:pPr>
      <w:r>
        <w:t>Join normalized predictions with consensus.csv.</w:t>
      </w:r>
    </w:p>
    <w:p>
      <w:pPr>
        <w:pStyle w:val="ListNumber"/>
      </w:pPr>
      <w:r>
        <w:t>Calculate TP, FP, FN, TN, precision, recall, F1, and coverage.</w:t>
      </w:r>
    </w:p>
    <w:p>
      <w:r>
        <w:t>Coverage is calculated separately because a scanner may not have an equivalent validated rule for every policy instance. An unmapped instance is excluded from that scanner's denominator; it is not silently counted as a true negative.</w:t>
      </w:r>
    </w:p>
    <w:p>
      <w:pPr>
        <w:pStyle w:val="Heading1"/>
      </w:pPr>
      <w:r>
        <w:t>16 Evidence Chain</w:t>
      </w:r>
    </w:p>
    <w:p>
      <w:r>
        <w:t>The complete evidence chain is: source files, policy criteria, ground-truth labels, raw scanner outputs, semantic mapping, normalized predictions, confusion matrices, and generated metrics. This sequence lets a reviewer trace a reported number back to an actual configuration and rule decision.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