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52"/>
          <w:szCs w:val="52"/>
        </w:rPr>
        <w:t xml:space="preserve">OCTA-CORE AI MEMORY ARCHITECTURE</w:t>
      </w:r>
    </w:p>
    <w:p>
      <w:pPr>
        <w:spacing w:after="80"/>
        <w:jc w:val="center"/>
      </w:pPr>
      <w:r>
        <w:rPr>
          <w:rFonts w:ascii="Arial" w:cs="Arial" w:eastAsia="Arial" w:hAnsi="Arial"/>
          <w:i/>
          <w:iCs/>
          <w:color w:val="2E75B6"/>
          <w:sz w:val="26"/>
          <w:szCs w:val="26"/>
        </w:rPr>
        <w:t xml:space="preserve">Concept Document v0.1</w:t>
      </w:r>
    </w:p>
    <w:p>
      <w:pPr>
        <w:spacing w:after="400"/>
        <w:jc w:val="center"/>
      </w:pPr>
      <w:r>
        <w:rPr>
          <w:rFonts w:ascii="Arial" w:cs="Arial" w:eastAsia="Arial" w:hAnsi="Arial"/>
          <w:color w:val="666666"/>
          <w:sz w:val="22"/>
          <w:szCs w:val="22"/>
        </w:rPr>
        <w:t xml:space="preserve">Don | March 2026</w:t>
      </w:r>
    </w:p>
    <w:p>
      <w:pPr>
        <w:pBdr>
          <w:bottom w:val="single" w:color="2E75B6" w:sz="6" w:space="1"/>
        </w:pBdr>
        <w:spacing w:after="200"/>
      </w:pPr>
    </w:p>
    <w:p>
      <w:pPr>
        <w:pStyle w:val="Heading1"/>
      </w:pPr>
      <w:r>
        <w:rPr>
          <w:rFonts w:ascii="Arial" w:cs="Arial" w:eastAsia="Arial" w:hAnsi="Arial"/>
          <w:b/>
          <w:bCs/>
          <w:color w:val="1F4E79"/>
          <w:sz w:val="32"/>
          <w:szCs w:val="32"/>
        </w:rPr>
        <w:t xml:space="preserve">The Problem</w:t>
      </w:r>
    </w:p>
    <w:p>
      <w:pPr>
        <w:spacing w:after="160"/>
      </w:pPr>
      <w:r>
        <w:rPr>
          <w:rFonts w:ascii="Arial" w:cs="Arial" w:eastAsia="Arial" w:hAnsi="Arial"/>
          <w:sz w:val="22"/>
          <w:szCs w:val="22"/>
        </w:rPr>
        <w:t xml:space="preserve">Modern AI inference hardware is broken by design. GPU-centric architectures force users into a single vendor ecosystem, with memory tightly coupled to proprietary compute dies. When you hit the VRAM ceiling, your only option is to buy an entirely new, more expensive card. There is no modularity, no scalability path for the individual builder, and no architectural innovation that serves the hobbyist, the researcher, or the small shop.</w:t>
      </w:r>
    </w:p>
    <w:p>
      <w:pPr>
        <w:spacing w:after="160"/>
      </w:pPr>
      <w:r>
        <w:rPr>
          <w:rFonts w:ascii="Arial" w:cs="Arial" w:eastAsia="Arial" w:hAnsi="Arial"/>
          <w:sz w:val="22"/>
          <w:szCs w:val="22"/>
        </w:rPr>
        <w:t xml:space="preserve">The result: meaningful local AI is gated behind hardware that most people cannot afford to upgrade on a sensible timeline.</w:t>
      </w:r>
    </w:p>
    <w:p>
      <w:pPr>
        <w:spacing w:after="200"/>
      </w:pPr>
      <w:r>
        <w:t xml:space="preserve"/>
      </w:r>
    </w:p>
    <w:p>
      <w:pPr>
        <w:pStyle w:val="Heading1"/>
      </w:pPr>
      <w:r>
        <w:rPr>
          <w:rFonts w:ascii="Arial" w:cs="Arial" w:eastAsia="Arial" w:hAnsi="Arial"/>
          <w:b/>
          <w:bCs/>
          <w:color w:val="1F4E79"/>
          <w:sz w:val="32"/>
          <w:szCs w:val="32"/>
        </w:rPr>
        <w:t xml:space="preserve">The Vision</w:t>
      </w:r>
    </w:p>
    <w:p>
      <w:pPr>
        <w:spacing w:after="160"/>
      </w:pPr>
      <w:r>
        <w:rPr>
          <w:rFonts w:ascii="Arial" w:cs="Arial" w:eastAsia="Arial" w:hAnsi="Arial"/>
          <w:sz w:val="22"/>
          <w:szCs w:val="22"/>
        </w:rPr>
        <w:t xml:space="preserve">A purpose-built AI inference machine built around a radially symmetric, octagonal compute architecture where memory is modular, hot-swappable, and expandable without replacing the core system. Built on open hardware principles, beginning with RISC-V compatibility, and designed from the ground up to be accessible to individuals and scalable to data centers.</w:t>
      </w:r>
    </w:p>
    <w:p>
      <w:pPr>
        <w:spacing w:after="160"/>
      </w:pPr>
      <w:r>
        <w:rPr>
          <w:rFonts w:ascii="Arial" w:cs="Arial" w:eastAsia="Arial" w:hAnsi="Arial"/>
          <w:sz w:val="22"/>
          <w:szCs w:val="22"/>
        </w:rPr>
        <w:t xml:space="preserve">The goal is a system that ships capable of running a 30 billion parameter model out of the box, with a clear expansion path toward training workloads and enterprise deployment.</w:t>
      </w:r>
    </w:p>
    <w:p>
      <w:pPr>
        <w:spacing w:after="200"/>
      </w:pPr>
      <w:r>
        <w:t xml:space="preserve"/>
      </w:r>
    </w:p>
    <w:p>
      <w:pPr>
        <w:pBdr>
          <w:bottom w:val="single" w:color="2E75B6" w:sz="6" w:space="1"/>
        </w:pBdr>
        <w:spacing w:after="200"/>
      </w:pPr>
    </w:p>
    <w:p>
      <w:pPr>
        <w:pStyle w:val="Heading1"/>
      </w:pPr>
      <w:r>
        <w:rPr>
          <w:rFonts w:ascii="Arial" w:cs="Arial" w:eastAsia="Arial" w:hAnsi="Arial"/>
          <w:b/>
          <w:bCs/>
          <w:color w:val="1F4E79"/>
          <w:sz w:val="32"/>
          <w:szCs w:val="32"/>
        </w:rPr>
        <w:t xml:space="preserve">Core Architecture: The Octagon</w:t>
      </w:r>
    </w:p>
    <w:p>
      <w:pPr>
        <w:spacing w:after="160"/>
      </w:pPr>
      <w:r>
        <w:rPr>
          <w:rFonts w:ascii="Arial" w:cs="Arial" w:eastAsia="Arial" w:hAnsi="Arial"/>
          <w:sz w:val="22"/>
          <w:szCs w:val="22"/>
        </w:rPr>
        <w:t xml:space="preserve">The central architectural innovation is the octagonal layout. The compute core sits at the center of an eight-sided board, with one memory module slot on each face. This is not an aesthetic choice. It solves a fundamental electrical engineering problem:</w:t>
      </w:r>
    </w:p>
    <w:p>
      <w:pPr>
        <w:spacing w:after="200"/>
      </w:pPr>
      <w:r>
        <w:t xml:space="preserve"/>
      </w:r>
    </w:p>
    <w:p>
      <w:pPr>
        <w:pStyle w:val="ListParagraph"/>
        <w:numPr>
          <w:ilvl w:val="0"/>
          <w:numId w:val="2"/>
        </w:numPr>
        <w:spacing w:after="100"/>
      </w:pPr>
      <w:r>
        <w:rPr>
          <w:rFonts w:ascii="Arial" w:cs="Arial" w:eastAsia="Arial" w:hAnsi="Arial"/>
          <w:sz w:val="22"/>
          <w:szCs w:val="22"/>
        </w:rPr>
        <w:t xml:space="preserve">Equal trace length from compute core to every memory slot</w:t>
      </w:r>
    </w:p>
    <w:p>
      <w:pPr>
        <w:pStyle w:val="ListParagraph"/>
        <w:numPr>
          <w:ilvl w:val="0"/>
          <w:numId w:val="2"/>
        </w:numPr>
        <w:spacing w:after="100"/>
      </w:pPr>
      <w:r>
        <w:rPr>
          <w:rFonts w:ascii="Arial" w:cs="Arial" w:eastAsia="Arial" w:hAnsi="Arial"/>
          <w:sz w:val="22"/>
          <w:szCs w:val="22"/>
        </w:rPr>
        <w:t xml:space="preserve">No slot has preferential bandwidth or lower latency than any other</w:t>
      </w:r>
    </w:p>
    <w:p>
      <w:pPr>
        <w:pStyle w:val="ListParagraph"/>
        <w:numPr>
          <w:ilvl w:val="0"/>
          <w:numId w:val="2"/>
        </w:numPr>
        <w:spacing w:after="100"/>
      </w:pPr>
      <w:r>
        <w:rPr>
          <w:rFonts w:ascii="Arial" w:cs="Arial" w:eastAsia="Arial" w:hAnsi="Arial"/>
          <w:sz w:val="22"/>
          <w:szCs w:val="22"/>
        </w:rPr>
        <w:t xml:space="preserve">Radial symmetry allows uniform power distribution across all eight channels</w:t>
      </w:r>
    </w:p>
    <w:p>
      <w:pPr>
        <w:pStyle w:val="ListParagraph"/>
        <w:numPr>
          <w:ilvl w:val="0"/>
          <w:numId w:val="2"/>
        </w:numPr>
        <w:spacing w:after="100"/>
      </w:pPr>
      <w:r>
        <w:rPr>
          <w:rFonts w:ascii="Arial" w:cs="Arial" w:eastAsia="Arial" w:hAnsi="Arial"/>
          <w:sz w:val="22"/>
          <w:szCs w:val="22"/>
        </w:rPr>
        <w:t xml:space="preserve">Physical layout supports future scaling to double-slot modules per face</w:t>
      </w:r>
    </w:p>
    <w:p>
      <w:pPr>
        <w:spacing w:after="200"/>
      </w:pPr>
      <w:r>
        <w:t xml:space="preserve"/>
      </w:r>
    </w:p>
    <w:p>
      <w:pPr>
        <w:spacing w:after="160"/>
      </w:pPr>
      <w:r>
        <w:rPr>
          <w:rFonts w:ascii="Arial" w:cs="Arial" w:eastAsia="Arial" w:hAnsi="Arial"/>
          <w:sz w:val="22"/>
          <w:szCs w:val="22"/>
        </w:rPr>
        <w:t xml:space="preserve">High-end memory controllers fight trace length asymmetry constantly in conventional linear layouts. This architecture eliminates that problem by design.</w:t>
      </w:r>
    </w:p>
    <w:p>
      <w:pPr>
        <w:spacing w:after="200"/>
      </w:pPr>
      <w:r>
        <w:t xml:space="preserve"/>
      </w:r>
    </w:p>
    <w:p>
      <w:pPr>
        <w:pStyle w:val="Heading2"/>
      </w:pPr>
      <w:r>
        <w:rPr>
          <w:rFonts w:ascii="Arial" w:cs="Arial" w:eastAsia="Arial" w:hAnsi="Arial"/>
          <w:b/>
          <w:bCs/>
          <w:color w:val="2E75B6"/>
          <w:sz w:val="26"/>
          <w:szCs w:val="26"/>
        </w:rPr>
        <w:t xml:space="preserve">Near-Memory Compute</w:t>
      </w:r>
    </w:p>
    <w:p>
      <w:pPr>
        <w:spacing w:after="160"/>
      </w:pPr>
      <w:r>
        <w:rPr>
          <w:rFonts w:ascii="Arial" w:cs="Arial" w:eastAsia="Arial" w:hAnsi="Arial"/>
          <w:sz w:val="22"/>
          <w:szCs w:val="22"/>
        </w:rPr>
        <w:t xml:space="preserve">The inference core and compute logic are placed in extremely close physical proximity, either on the same die or on physically linked substrates. This approach, known in research literature as near-memory compute or processor-in-memory architecture, minimizes the memory wall problem that is the primary performance bottleneck in transformer-based AI inference.</w:t>
      </w:r>
    </w:p>
    <w:p>
      <w:pPr>
        <w:spacing w:after="160"/>
      </w:pPr>
      <w:r>
        <w:rPr>
          <w:rFonts w:ascii="Arial" w:cs="Arial" w:eastAsia="Arial" w:hAnsi="Arial"/>
          <w:sz w:val="22"/>
          <w:szCs w:val="22"/>
        </w:rPr>
        <w:t xml:space="preserve">This is one of the most actively researched areas in semiconductor design. The octagonal architecture provides a physical foundation that makes this coupling practical at a buildable scale.</w:t>
      </w:r>
    </w:p>
    <w:p>
      <w:pPr>
        <w:spacing w:after="200"/>
      </w:pPr>
      <w:r>
        <w:t xml:space="preserve"/>
      </w:r>
    </w:p>
    <w:p>
      <w:pPr>
        <w:pBdr>
          <w:bottom w:val="single" w:color="2E75B6" w:sz="6" w:space="1"/>
        </w:pBdr>
        <w:spacing w:after="200"/>
      </w:pPr>
    </w:p>
    <w:p>
      <w:pPr>
        <w:pStyle w:val="Heading1"/>
      </w:pPr>
      <w:r>
        <w:rPr>
          <w:rFonts w:ascii="Arial" w:cs="Arial" w:eastAsia="Arial" w:hAnsi="Arial"/>
          <w:b/>
          <w:bCs/>
          <w:color w:val="1F4E79"/>
          <w:sz w:val="32"/>
          <w:szCs w:val="32"/>
        </w:rPr>
        <w:t xml:space="preserve">The Memory Module: Cartridge Design</w:t>
      </w:r>
    </w:p>
    <w:p>
      <w:pPr>
        <w:spacing w:after="160"/>
      </w:pPr>
      <w:r>
        <w:rPr>
          <w:rFonts w:ascii="Arial" w:cs="Arial" w:eastAsia="Arial" w:hAnsi="Arial"/>
          <w:sz w:val="22"/>
          <w:szCs w:val="22"/>
        </w:rPr>
        <w:t xml:space="preserve">Each of the eight slots accepts a self-contained memory cartridge. The cartridge design is inspired by the thermal management solutions already proven in workstation hardware, and solves the physical and thermal challenges of high-density memory at the module level rather than the board level.</w:t>
      </w:r>
    </w:p>
    <w:p>
      <w:pPr>
        <w:spacing w:after="200"/>
      </w:pPr>
      <w:r>
        <w:t xml:space="preserve"/>
      </w:r>
    </w:p>
    <w:p>
      <w:pPr>
        <w:pStyle w:val="Heading2"/>
      </w:pPr>
      <w:r>
        <w:rPr>
          <w:rFonts w:ascii="Arial" w:cs="Arial" w:eastAsia="Arial" w:hAnsi="Arial"/>
          <w:b/>
          <w:bCs/>
          <w:color w:val="2E75B6"/>
          <w:sz w:val="26"/>
          <w:szCs w:val="26"/>
        </w:rPr>
        <w:t xml:space="preserve">Physical Specification</w:t>
      </w:r>
    </w:p>
    <w:p>
      <w:pPr>
        <w:pStyle w:val="ListParagraph"/>
        <w:numPr>
          <w:ilvl w:val="0"/>
          <w:numId w:val="2"/>
        </w:numPr>
        <w:spacing w:after="100"/>
      </w:pPr>
      <w:r>
        <w:rPr>
          <w:rFonts w:ascii="Arial" w:cs="Arial" w:eastAsia="Arial" w:hAnsi="Arial"/>
          <w:sz w:val="22"/>
          <w:szCs w:val="22"/>
        </w:rPr>
        <w:t xml:space="preserve">PCIe edge connector at the base for signal and power delivery</w:t>
      </w:r>
    </w:p>
    <w:p>
      <w:pPr>
        <w:pStyle w:val="ListParagraph"/>
        <w:numPr>
          <w:ilvl w:val="0"/>
          <w:numId w:val="2"/>
        </w:numPr>
        <w:spacing w:after="100"/>
      </w:pPr>
      <w:r>
        <w:rPr>
          <w:rFonts w:ascii="Arial" w:cs="Arial" w:eastAsia="Arial" w:hAnsi="Arial"/>
          <w:sz w:val="22"/>
          <w:szCs w:val="22"/>
        </w:rPr>
        <w:t xml:space="preserve">Memory chips populated on both faces of the cartridge PCB</w:t>
      </w:r>
    </w:p>
    <w:p>
      <w:pPr>
        <w:pStyle w:val="ListParagraph"/>
        <w:numPr>
          <w:ilvl w:val="0"/>
          <w:numId w:val="2"/>
        </w:numPr>
        <w:spacing w:after="100"/>
      </w:pPr>
      <w:r>
        <w:rPr>
          <w:rFonts w:ascii="Arial" w:cs="Arial" w:eastAsia="Arial" w:hAnsi="Arial"/>
          <w:sz w:val="22"/>
          <w:szCs w:val="22"/>
        </w:rPr>
        <w:t xml:space="preserve">Active cooling integrated into the cartridge housing: heatsinks and small fans surrounding the memory chips</w:t>
      </w:r>
    </w:p>
    <w:p>
      <w:pPr>
        <w:pStyle w:val="ListParagraph"/>
        <w:numPr>
          <w:ilvl w:val="0"/>
          <w:numId w:val="2"/>
        </w:numPr>
        <w:spacing w:after="100"/>
      </w:pPr>
      <w:r>
        <w:rPr>
          <w:rFonts w:ascii="Arial" w:cs="Arial" w:eastAsia="Arial" w:hAnsi="Arial"/>
          <w:sz w:val="22"/>
          <w:szCs w:val="22"/>
        </w:rPr>
        <w:t xml:space="preserve">Each cartridge is thermally self-contained and independent</w:t>
      </w:r>
    </w:p>
    <w:p>
      <w:pPr>
        <w:pStyle w:val="ListParagraph"/>
        <w:numPr>
          <w:ilvl w:val="0"/>
          <w:numId w:val="2"/>
        </w:numPr>
        <w:spacing w:after="100"/>
      </w:pPr>
      <w:r>
        <w:rPr>
          <w:rFonts w:ascii="Arial" w:cs="Arial" w:eastAsia="Arial" w:hAnsi="Arial"/>
          <w:sz w:val="22"/>
          <w:szCs w:val="22"/>
        </w:rPr>
        <w:t xml:space="preserve">Hot-swap capable with managed power sequencing controller</w:t>
      </w:r>
    </w:p>
    <w:p>
      <w:pPr>
        <w:spacing w:after="200"/>
      </w:pPr>
      <w:r>
        <w:t xml:space="preserve"/>
      </w:r>
    </w:p>
    <w:p>
      <w:pPr>
        <w:pStyle w:val="Heading2"/>
      </w:pPr>
      <w:r>
        <w:rPr>
          <w:rFonts w:ascii="Arial" w:cs="Arial" w:eastAsia="Arial" w:hAnsi="Arial"/>
          <w:b/>
          <w:bCs/>
          <w:color w:val="2E75B6"/>
          <w:sz w:val="26"/>
          <w:szCs w:val="26"/>
        </w:rPr>
        <w:t xml:space="preserve">Why Cartridge Form Factor</w:t>
      </w:r>
    </w:p>
    <w:p>
      <w:pPr>
        <w:spacing w:after="160"/>
      </w:pPr>
      <w:r>
        <w:rPr>
          <w:rFonts w:ascii="Arial" w:cs="Arial" w:eastAsia="Arial" w:hAnsi="Arial"/>
          <w:sz w:val="22"/>
          <w:szCs w:val="22"/>
        </w:rPr>
        <w:t xml:space="preserve">The cartridge approach solves several problems simultaneously. Thermal management does not depend on the host board. Each module handles its own heat. A failed cooling solution on one module does not affect the rest of the system. Modules can be swapped without system downtime. Different capacity modules can be mixed within the same system as needs evolve.</w:t>
      </w:r>
    </w:p>
    <w:p>
      <w:pPr>
        <w:spacing w:after="160"/>
      </w:pPr>
      <w:r>
        <w:rPr>
          <w:rFonts w:ascii="Arial" w:cs="Arial" w:eastAsia="Arial" w:hAnsi="Arial"/>
          <w:sz w:val="22"/>
          <w:szCs w:val="22"/>
        </w:rPr>
        <w:t xml:space="preserve">The proprietary form factor is a necessary consequence of the novel packaging, not a deliberate lock-in strategy. The electrical interface at the base remains based on open PCIe standards to maintain verifiability and community accessibility.</w:t>
      </w:r>
    </w:p>
    <w:p>
      <w:pPr>
        <w:spacing w:after="200"/>
      </w:pPr>
      <w:r>
        <w:t xml:space="preserve"/>
      </w:r>
    </w:p>
    <w:p>
      <w:pPr>
        <w:pBdr>
          <w:bottom w:val="single" w:color="2E75B6" w:sz="6" w:space="1"/>
        </w:pBdr>
        <w:spacing w:after="200"/>
      </w:pPr>
    </w:p>
    <w:p>
      <w:pPr>
        <w:pStyle w:val="Heading1"/>
      </w:pPr>
      <w:r>
        <w:rPr>
          <w:rFonts w:ascii="Arial" w:cs="Arial" w:eastAsia="Arial" w:hAnsi="Arial"/>
          <w:b/>
          <w:bCs/>
          <w:color w:val="1F4E79"/>
          <w:sz w:val="32"/>
          <w:szCs w:val="32"/>
        </w:rPr>
        <w:t xml:space="preserve">Memory Interface &amp; Connectivity</w:t>
      </w:r>
    </w:p>
    <w:p>
      <w:pPr>
        <w:spacing w:after="160"/>
      </w:pPr>
      <w:r>
        <w:rPr>
          <w:rFonts w:ascii="Arial" w:cs="Arial" w:eastAsia="Arial" w:hAnsi="Arial"/>
          <w:sz w:val="22"/>
          <w:szCs w:val="22"/>
        </w:rPr>
        <w:t xml:space="preserve">For the proof of concept phase, the memory interface targets LPDDR5 in a custom socket designed around the octagonal slot specification. LPDDR5 is fast, accessible, supported by an existing supply chain through mobile and edge device markets, and provides a foundation for demonstrating the architecture without enterprise-only component dependencies.</w:t>
      </w:r>
    </w:p>
    <w:p>
      <w:pPr>
        <w:spacing w:after="200"/>
      </w:pPr>
      <w:r>
        <w:t xml:space="preserve"/>
      </w:r>
    </w:p>
    <w:p>
      <w:pPr>
        <w:pStyle w:val="ListParagraph"/>
        <w:numPr>
          <w:ilvl w:val="0"/>
          <w:numId w:val="2"/>
        </w:numPr>
        <w:spacing w:after="100"/>
      </w:pPr>
      <w:r>
        <w:rPr>
          <w:rFonts w:ascii="Arial" w:cs="Arial" w:eastAsia="Arial" w:hAnsi="Arial"/>
          <w:sz w:val="22"/>
          <w:szCs w:val="22"/>
        </w:rPr>
        <w:t xml:space="preserve">Proof of concept: LPDDR5 custom socket, octagonal layout</w:t>
      </w:r>
    </w:p>
    <w:p>
      <w:pPr>
        <w:pStyle w:val="ListParagraph"/>
        <w:numPr>
          <w:ilvl w:val="0"/>
          <w:numId w:val="2"/>
        </w:numPr>
        <w:spacing w:after="100"/>
      </w:pPr>
      <w:r>
        <w:rPr>
          <w:rFonts w:ascii="Arial" w:cs="Arial" w:eastAsia="Arial" w:hAnsi="Arial"/>
          <w:sz w:val="22"/>
          <w:szCs w:val="22"/>
        </w:rPr>
        <w:t xml:space="preserve">Production target: HBM-adjacent stacked memory on silicon interposer</w:t>
      </w:r>
    </w:p>
    <w:p>
      <w:pPr>
        <w:pStyle w:val="ListParagraph"/>
        <w:numPr>
          <w:ilvl w:val="0"/>
          <w:numId w:val="2"/>
        </w:numPr>
        <w:spacing w:after="100"/>
      </w:pPr>
      <w:r>
        <w:rPr>
          <w:rFonts w:ascii="Arial" w:cs="Arial" w:eastAsia="Arial" w:hAnsi="Arial"/>
          <w:sz w:val="22"/>
          <w:szCs w:val="22"/>
        </w:rPr>
        <w:t xml:space="preserve">Bus width scales with lane count, no fundamental ceiling on bandwidth per slot</w:t>
      </w:r>
    </w:p>
    <w:p>
      <w:pPr>
        <w:pStyle w:val="ListParagraph"/>
        <w:numPr>
          <w:ilvl w:val="0"/>
          <w:numId w:val="2"/>
        </w:numPr>
        <w:spacing w:after="100"/>
      </w:pPr>
      <w:r>
        <w:rPr>
          <w:rFonts w:ascii="Arial" w:cs="Arial" w:eastAsia="Arial" w:hAnsi="Arial"/>
          <w:sz w:val="22"/>
          <w:szCs w:val="22"/>
        </w:rPr>
        <w:t xml:space="preserve">Eight independent memory channels, each managed by the central controller</w:t>
      </w:r>
    </w:p>
    <w:p>
      <w:pPr>
        <w:spacing w:after="200"/>
      </w:pPr>
      <w:r>
        <w:t xml:space="preserve"/>
      </w:r>
    </w:p>
    <w:p>
      <w:pPr>
        <w:spacing w:after="160"/>
      </w:pPr>
      <w:r>
        <w:rPr>
          <w:rFonts w:ascii="Arial" w:cs="Arial" w:eastAsia="Arial" w:hAnsi="Arial"/>
          <w:sz w:val="22"/>
          <w:szCs w:val="22"/>
        </w:rPr>
        <w:t xml:space="preserve">The long-term vision for the connector interface moves toward something functionally similar to HBM, where memory sits directly adjacent to the compute substrate on an interposer, minimizing electrical path length to near zero. The cartridge form factor is the bridge between that vision and what can be built and demonstrated today.</w:t>
      </w:r>
    </w:p>
    <w:p>
      <w:pPr>
        <w:spacing w:after="200"/>
      </w:pPr>
      <w:r>
        <w:t xml:space="preserve"/>
      </w:r>
    </w:p>
    <w:p>
      <w:pPr>
        <w:pBdr>
          <w:bottom w:val="single" w:color="2E75B6" w:sz="6" w:space="1"/>
        </w:pBdr>
        <w:spacing w:after="200"/>
      </w:pPr>
    </w:p>
    <w:p>
      <w:pPr>
        <w:pStyle w:val="Heading1"/>
      </w:pPr>
      <w:r>
        <w:rPr>
          <w:rFonts w:ascii="Arial" w:cs="Arial" w:eastAsia="Arial" w:hAnsi="Arial"/>
          <w:b/>
          <w:bCs/>
          <w:color w:val="1F4E79"/>
          <w:sz w:val="32"/>
          <w:szCs w:val="32"/>
        </w:rPr>
        <w:t xml:space="preserve">Target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Specification</w:t>
            </w:r>
          </w:p>
        </w:tc>
        <w:tc>
          <w:tcPr>
            <w:tcW w:type="dxa" w:w="5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Memory slots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(octagonal layout)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Base memory capacity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30B parameter model capable (out of box)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Expansion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Hot-swap modules, double-slot future spec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Compute architecture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RISC-V compatible, open hardware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Memory interface (PoC)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LPDDR5 custom socket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Memory interface (production)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HBM-adjacent stacked, silicon interposer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Cooling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Per-module active cooling, thermally independent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Connectivity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PCIe-based electrical interface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Target use case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inference, fine-tuning, eventually training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Form factor (initial)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Desktop/tower, accessible to individuals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Scale path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Rackmount and datacenter integration</w:t>
            </w:r>
          </w:p>
        </w:tc>
      </w:tr>
    </w:tbl>
    <w:p>
      <w:pPr>
        <w:spacing w:after="200"/>
      </w:pPr>
      <w:r>
        <w:t xml:space="preserve"/>
      </w:r>
    </w:p>
    <w:p>
      <w:pPr>
        <w:pBdr>
          <w:bottom w:val="single" w:color="2E75B6" w:sz="6" w:space="1"/>
        </w:pBdr>
        <w:spacing w:after="200"/>
      </w:pPr>
    </w:p>
    <w:p>
      <w:pPr>
        <w:pStyle w:val="Heading1"/>
      </w:pPr>
      <w:r>
        <w:rPr>
          <w:rFonts w:ascii="Arial" w:cs="Arial" w:eastAsia="Arial" w:hAnsi="Arial"/>
          <w:b/>
          <w:bCs/>
          <w:color w:val="1F4E79"/>
          <w:sz w:val="32"/>
          <w:szCs w:val="32"/>
        </w:rPr>
        <w:t xml:space="preserve">Proof of Concept Plan</w:t>
      </w:r>
    </w:p>
    <w:p>
      <w:pPr>
        <w:spacing w:after="160"/>
      </w:pPr>
      <w:r>
        <w:rPr>
          <w:rFonts w:ascii="Arial" w:cs="Arial" w:eastAsia="Arial" w:hAnsi="Arial"/>
          <w:sz w:val="22"/>
          <w:szCs w:val="22"/>
        </w:rPr>
        <w:t xml:space="preserve">The proof of concept does not attempt to build the full production vision. It demonstrates the core architectural claims: that radial memory symmetry works, that hot-swap functions reliably, and that a 30B model runs on the platform. That demonstration is what unlocks funding and collaboration.</w:t>
      </w:r>
    </w:p>
    <w:p>
      <w:pPr>
        <w:spacing w:after="200"/>
      </w:pPr>
      <w:r>
        <w:t xml:space="preserve"/>
      </w:r>
    </w:p>
    <w:p>
      <w:pPr>
        <w:pStyle w:val="Heading2"/>
      </w:pPr>
      <w:r>
        <w:rPr>
          <w:rFonts w:ascii="Arial" w:cs="Arial" w:eastAsia="Arial" w:hAnsi="Arial"/>
          <w:b/>
          <w:bCs/>
          <w:color w:val="2E75B6"/>
          <w:sz w:val="26"/>
          <w:szCs w:val="26"/>
        </w:rPr>
        <w:t xml:space="preserve">Phase 1: Architecture Validation (~$1,000-2,000)</w:t>
      </w:r>
    </w:p>
    <w:p>
      <w:pPr>
        <w:pStyle w:val="ListParagraph"/>
        <w:numPr>
          <w:ilvl w:val="0"/>
          <w:numId w:val="2"/>
        </w:numPr>
        <w:spacing w:after="100"/>
      </w:pPr>
      <w:r>
        <w:rPr>
          <w:rFonts w:ascii="Arial" w:cs="Arial" w:eastAsia="Arial" w:hAnsi="Arial"/>
          <w:sz w:val="22"/>
          <w:szCs w:val="22"/>
        </w:rPr>
        <w:t xml:space="preserve">Custom PCB for octagonal memory interface layout</w:t>
      </w:r>
    </w:p>
    <w:p>
      <w:pPr>
        <w:pStyle w:val="ListParagraph"/>
        <w:numPr>
          <w:ilvl w:val="0"/>
          <w:numId w:val="2"/>
        </w:numPr>
        <w:spacing w:after="100"/>
      </w:pPr>
      <w:r>
        <w:rPr>
          <w:rFonts w:ascii="Arial" w:cs="Arial" w:eastAsia="Arial" w:hAnsi="Arial"/>
          <w:sz w:val="22"/>
          <w:szCs w:val="22"/>
        </w:rPr>
        <w:t xml:space="preserve">RISC-V development board as orchestration layer</w:t>
      </w:r>
    </w:p>
    <w:p>
      <w:pPr>
        <w:pStyle w:val="ListParagraph"/>
        <w:numPr>
          <w:ilvl w:val="0"/>
          <w:numId w:val="2"/>
        </w:numPr>
        <w:spacing w:after="100"/>
      </w:pPr>
      <w:r>
        <w:rPr>
          <w:rFonts w:ascii="Arial" w:cs="Arial" w:eastAsia="Arial" w:hAnsi="Arial"/>
          <w:sz w:val="22"/>
          <w:szCs w:val="22"/>
        </w:rPr>
        <w:t xml:space="preserve">LPDDR5 modules in prototype socket</w:t>
      </w:r>
    </w:p>
    <w:p>
      <w:pPr>
        <w:pStyle w:val="ListParagraph"/>
        <w:numPr>
          <w:ilvl w:val="0"/>
          <w:numId w:val="2"/>
        </w:numPr>
        <w:spacing w:after="100"/>
      </w:pPr>
      <w:r>
        <w:rPr>
          <w:rFonts w:ascii="Arial" w:cs="Arial" w:eastAsia="Arial" w:hAnsi="Arial"/>
          <w:sz w:val="22"/>
          <w:szCs w:val="22"/>
        </w:rPr>
        <w:t xml:space="preserve">Hot-swap controller implementation and testing</w:t>
      </w:r>
    </w:p>
    <w:p>
      <w:pPr>
        <w:pStyle w:val="ListParagraph"/>
        <w:numPr>
          <w:ilvl w:val="0"/>
          <w:numId w:val="2"/>
        </w:numPr>
        <w:spacing w:after="100"/>
      </w:pPr>
      <w:r>
        <w:rPr>
          <w:rFonts w:ascii="Arial" w:cs="Arial" w:eastAsia="Arial" w:hAnsi="Arial"/>
          <w:sz w:val="22"/>
          <w:szCs w:val="22"/>
        </w:rPr>
        <w:t xml:space="preserve">Demonstrate equal latency across all eight memory slots</w:t>
      </w:r>
    </w:p>
    <w:p>
      <w:pPr>
        <w:spacing w:after="200"/>
      </w:pPr>
      <w:r>
        <w:t xml:space="preserve"/>
      </w:r>
    </w:p>
    <w:p>
      <w:pPr>
        <w:pStyle w:val="Heading2"/>
      </w:pPr>
      <w:r>
        <w:rPr>
          <w:rFonts w:ascii="Arial" w:cs="Arial" w:eastAsia="Arial" w:hAnsi="Arial"/>
          <w:b/>
          <w:bCs/>
          <w:color w:val="2E75B6"/>
          <w:sz w:val="26"/>
          <w:szCs w:val="26"/>
        </w:rPr>
        <w:t xml:space="preserve">Phase 2: Working Demonstrator (~$2,000-3,000)</w:t>
      </w:r>
    </w:p>
    <w:p>
      <w:pPr>
        <w:pStyle w:val="ListParagraph"/>
        <w:numPr>
          <w:ilvl w:val="0"/>
          <w:numId w:val="2"/>
        </w:numPr>
        <w:spacing w:after="100"/>
      </w:pPr>
      <w:r>
        <w:rPr>
          <w:rFonts w:ascii="Arial" w:cs="Arial" w:eastAsia="Arial" w:hAnsi="Arial"/>
          <w:sz w:val="22"/>
          <w:szCs w:val="22"/>
        </w:rPr>
        <w:t xml:space="preserve">Integrate inference-capable compute element</w:t>
      </w:r>
    </w:p>
    <w:p>
      <w:pPr>
        <w:pStyle w:val="ListParagraph"/>
        <w:numPr>
          <w:ilvl w:val="0"/>
          <w:numId w:val="2"/>
        </w:numPr>
        <w:spacing w:after="100"/>
      </w:pPr>
      <w:r>
        <w:rPr>
          <w:rFonts w:ascii="Arial" w:cs="Arial" w:eastAsia="Arial" w:hAnsi="Arial"/>
          <w:sz w:val="22"/>
          <w:szCs w:val="22"/>
        </w:rPr>
        <w:t xml:space="preserve">First cartridge prototype with integrated cooling</w:t>
      </w:r>
    </w:p>
    <w:p>
      <w:pPr>
        <w:pStyle w:val="ListParagraph"/>
        <w:numPr>
          <w:ilvl w:val="0"/>
          <w:numId w:val="2"/>
        </w:numPr>
        <w:spacing w:after="100"/>
      </w:pPr>
      <w:r>
        <w:rPr>
          <w:rFonts w:ascii="Arial" w:cs="Arial" w:eastAsia="Arial" w:hAnsi="Arial"/>
          <w:sz w:val="22"/>
          <w:szCs w:val="22"/>
        </w:rPr>
        <w:t xml:space="preserve">Run 30B parameter model on platform</w:t>
      </w:r>
    </w:p>
    <w:p>
      <w:pPr>
        <w:pStyle w:val="ListParagraph"/>
        <w:numPr>
          <w:ilvl w:val="0"/>
          <w:numId w:val="2"/>
        </w:numPr>
        <w:spacing w:after="100"/>
      </w:pPr>
      <w:r>
        <w:rPr>
          <w:rFonts w:ascii="Arial" w:cs="Arial" w:eastAsia="Arial" w:hAnsi="Arial"/>
          <w:sz w:val="22"/>
          <w:szCs w:val="22"/>
        </w:rPr>
        <w:t xml:space="preserve">Document and publish results openly</w:t>
      </w:r>
    </w:p>
    <w:p>
      <w:pPr>
        <w:spacing w:after="200"/>
      </w:pPr>
      <w:r>
        <w:t xml:space="preserve"/>
      </w:r>
    </w:p>
    <w:p>
      <w:pPr>
        <w:pStyle w:val="Heading2"/>
      </w:pPr>
      <w:r>
        <w:rPr>
          <w:rFonts w:ascii="Arial" w:cs="Arial" w:eastAsia="Arial" w:hAnsi="Arial"/>
          <w:b/>
          <w:bCs/>
          <w:color w:val="2E75B6"/>
          <w:sz w:val="26"/>
          <w:szCs w:val="26"/>
        </w:rPr>
        <w:t xml:space="preserve">Phase 3: Community and Funding</w:t>
      </w:r>
    </w:p>
    <w:p>
      <w:pPr>
        <w:pStyle w:val="ListParagraph"/>
        <w:numPr>
          <w:ilvl w:val="0"/>
          <w:numId w:val="2"/>
        </w:numPr>
        <w:spacing w:after="100"/>
      </w:pPr>
      <w:r>
        <w:rPr>
          <w:rFonts w:ascii="Arial" w:cs="Arial" w:eastAsia="Arial" w:hAnsi="Arial"/>
          <w:sz w:val="22"/>
          <w:szCs w:val="22"/>
        </w:rPr>
        <w:t xml:space="preserve">Open hardware documentation release</w:t>
      </w:r>
    </w:p>
    <w:p>
      <w:pPr>
        <w:pStyle w:val="ListParagraph"/>
        <w:numPr>
          <w:ilvl w:val="0"/>
          <w:numId w:val="2"/>
        </w:numPr>
        <w:spacing w:after="100"/>
      </w:pPr>
      <w:r>
        <w:rPr>
          <w:rFonts w:ascii="Arial" w:cs="Arial" w:eastAsia="Arial" w:hAnsi="Arial"/>
          <w:sz w:val="22"/>
          <w:szCs w:val="22"/>
        </w:rPr>
        <w:t xml:space="preserve">Prototype demonstration to potential collaborators and funders</w:t>
      </w:r>
    </w:p>
    <w:p>
      <w:pPr>
        <w:pStyle w:val="ListParagraph"/>
        <w:numPr>
          <w:ilvl w:val="0"/>
          <w:numId w:val="2"/>
        </w:numPr>
        <w:spacing w:after="100"/>
      </w:pPr>
      <w:r>
        <w:rPr>
          <w:rFonts w:ascii="Arial" w:cs="Arial" w:eastAsia="Arial" w:hAnsi="Arial"/>
          <w:sz w:val="22"/>
          <w:szCs w:val="22"/>
        </w:rPr>
        <w:t xml:space="preserve">Rackmount form factor specification</w:t>
      </w:r>
    </w:p>
    <w:p>
      <w:pPr>
        <w:pStyle w:val="ListParagraph"/>
        <w:numPr>
          <w:ilvl w:val="0"/>
          <w:numId w:val="2"/>
        </w:numPr>
        <w:spacing w:after="100"/>
      </w:pPr>
      <w:r>
        <w:rPr>
          <w:rFonts w:ascii="Arial" w:cs="Arial" w:eastAsia="Arial" w:hAnsi="Arial"/>
          <w:sz w:val="22"/>
          <w:szCs w:val="22"/>
        </w:rPr>
        <w:t xml:space="preserve">Community build program</w:t>
      </w:r>
    </w:p>
    <w:p>
      <w:pPr>
        <w:spacing w:after="200"/>
      </w:pPr>
      <w:r>
        <w:t xml:space="preserve"/>
      </w:r>
    </w:p>
    <w:p>
      <w:pPr>
        <w:pBdr>
          <w:bottom w:val="single" w:color="2E75B6" w:sz="6" w:space="1"/>
        </w:pBdr>
        <w:spacing w:after="200"/>
      </w:pPr>
    </w:p>
    <w:p>
      <w:pPr>
        <w:pStyle w:val="Heading1"/>
      </w:pPr>
      <w:r>
        <w:rPr>
          <w:rFonts w:ascii="Arial" w:cs="Arial" w:eastAsia="Arial" w:hAnsi="Arial"/>
          <w:b/>
          <w:bCs/>
          <w:color w:val="1F4E79"/>
          <w:sz w:val="32"/>
          <w:szCs w:val="32"/>
        </w:rPr>
        <w:t xml:space="preserve">Why This Matters</w:t>
      </w:r>
    </w:p>
    <w:p>
      <w:pPr>
        <w:spacing w:after="160"/>
      </w:pPr>
      <w:r>
        <w:rPr>
          <w:rFonts w:ascii="Arial" w:cs="Arial" w:eastAsia="Arial" w:hAnsi="Arial"/>
          <w:sz w:val="22"/>
          <w:szCs w:val="22"/>
        </w:rPr>
        <w:t xml:space="preserve">Every meaningful advance in local AI has been gated by VRAM. The person who wants to run a capable model at home, fine-tune it on their own data, or build something real on top of it hits the same wall: buy a new GPU, or stop here. There is no upgrade path. There is no modularity. There is no community hardware that grows with you.</w:t>
      </w:r>
    </w:p>
    <w:p>
      <w:pPr>
        <w:spacing w:after="160"/>
      </w:pPr>
      <w:r>
        <w:rPr>
          <w:rFonts w:ascii="Arial" w:cs="Arial" w:eastAsia="Arial" w:hAnsi="Arial"/>
          <w:sz w:val="22"/>
          <w:szCs w:val="22"/>
        </w:rPr>
        <w:t xml:space="preserve">This architecture is the answer to that problem. Not for the datacenter first, but for the person in the shop, the researcher without a budget, the builder who sees what should exist and wants to make it real.</w:t>
      </w:r>
    </w:p>
    <w:p>
      <w:pPr>
        <w:spacing w:after="160"/>
      </w:pPr>
      <w:r>
        <w:rPr>
          <w:rFonts w:ascii="Arial" w:cs="Arial" w:eastAsia="Arial" w:hAnsi="Arial"/>
          <w:sz w:val="22"/>
          <w:szCs w:val="22"/>
        </w:rPr>
        <w:t xml:space="preserve">The octagon is the starting point. What grows from it is open.</w:t>
      </w:r>
    </w:p>
    <w:p>
      <w:pPr>
        <w:spacing w:after="200"/>
      </w:pPr>
      <w:r>
        <w:t xml:space="preserve"/>
      </w:r>
    </w:p>
    <w:p>
      <w:pPr>
        <w:pBdr>
          <w:bottom w:val="single" w:color="2E75B6" w:sz="6" w:space="1"/>
        </w:pBdr>
        <w:spacing w:after="200"/>
      </w:pPr>
    </w:p>
    <w:p>
      <w:pPr>
        <w:spacing w:before="200"/>
        <w:jc w:val="center"/>
      </w:pPr>
      <w:r>
        <w:rPr>
          <w:rFonts w:ascii="Arial" w:cs="Arial" w:eastAsia="Arial" w:hAnsi="Arial"/>
          <w:i/>
          <w:iCs/>
          <w:color w:val="999999"/>
          <w:sz w:val="18"/>
          <w:szCs w:val="18"/>
        </w:rPr>
        <w:t xml:space="preserve">Concept originated and developed by Don | Built in collaboration with Claude (Anthropic)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2026-03-08T15:17:00.537Z</dcterms:created>
  <dcterms:modified xsi:type="dcterms:W3CDTF">2026-03-08T15:17:00.537Z</dcterms:modified>
</cp:coreProperties>
</file>

<file path=docProps/custom.xml><?xml version="1.0" encoding="utf-8"?>
<Properties xmlns="http://schemas.openxmlformats.org/officeDocument/2006/custom-properties" xmlns:vt="http://schemas.openxmlformats.org/officeDocument/2006/docPropsVTypes"/>
</file>