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3C9D8" w14:textId="77777777" w:rsidR="001A0B1E" w:rsidRDefault="00000000">
      <w:pPr>
        <w:pStyle w:val="Heading1"/>
      </w:pPr>
      <w:r>
        <w:t>M²FA-Net: Response to Reviewers</w:t>
      </w:r>
    </w:p>
    <w:p w14:paraId="61732780" w14:textId="77777777" w:rsidR="001A0B1E" w:rsidRDefault="00000000">
      <w:pPr>
        <w:pStyle w:val="Heading2"/>
      </w:pPr>
      <w:r>
        <w:t xml:space="preserve">Cover </w:t>
      </w:r>
      <w:proofErr w:type="gramStart"/>
      <w:r>
        <w:t>note</w:t>
      </w:r>
      <w:proofErr w:type="gramEnd"/>
      <w:r>
        <w:t xml:space="preserve"> to the Editor</w:t>
      </w:r>
    </w:p>
    <w:p w14:paraId="19BF5702" w14:textId="77777777" w:rsidR="001A0B1E" w:rsidRDefault="00000000">
      <w:r>
        <w:t>Dear Editor,</w:t>
      </w:r>
    </w:p>
    <w:p w14:paraId="5C79A4B7" w14:textId="77777777" w:rsidR="001A0B1E" w:rsidRDefault="00000000">
      <w:r>
        <w:t xml:space="preserve">Thank you for giving us the opportunity to revise our manuscript, </w:t>
      </w:r>
      <w:r>
        <w:rPr>
          <w:i/>
        </w:rPr>
        <w:t>M²FA-Net: A Multimodal Multi-Level Fusion Attention Network for Weed Segmentation</w:t>
      </w:r>
      <w:r>
        <w:t xml:space="preserve"> (Manuscript ID: [ID]). We are grateful to you and the reviewers for the time and care given to our work. The comments were constructive and have helped us improve the clarity, rigor, and scope of the paper.</w:t>
      </w:r>
    </w:p>
    <w:p w14:paraId="41B0FB23" w14:textId="77777777" w:rsidR="001A0B1E" w:rsidRDefault="00000000">
      <w:r>
        <w:t>We have addressed every comment point by point below. In the revised manuscript, all new or changed text is highlighted in red. We are uploading: (a) this point-by-point response; (b) the revised manuscript with changes highlighted; and (c) a clean revised manuscript without highlights.</w:t>
      </w:r>
    </w:p>
    <w:p w14:paraId="3D9F54D1" w14:textId="77777777" w:rsidR="001A0B1E" w:rsidRDefault="00000000">
      <w:r>
        <w:t>Sincerely, [Name], on behalf of all authors</w:t>
      </w:r>
    </w:p>
    <w:p w14:paraId="2485AD5E" w14:textId="77777777" w:rsidR="001A0B1E" w:rsidRDefault="00000000">
      <w:pPr>
        <w:pStyle w:val="Heading2"/>
      </w:pPr>
      <w:r>
        <w:t>Reviewer #2</w:t>
      </w:r>
    </w:p>
    <w:p w14:paraId="3758C804" w14:textId="77777777" w:rsidR="001A0B1E" w:rsidRDefault="00000000">
      <w:r>
        <w:t>We sincerely thank the reviewer for the careful reading of our manuscript and for the thoughtful, constructive comments. We appreciate the recognition of the paper's overall structure and its experimental scope. Each comment is quoted below, followed by our response and the corresponding changes to the manuscript.</w:t>
      </w:r>
    </w:p>
    <w:p w14:paraId="63FE0543" w14:textId="77777777" w:rsidR="001A0B1E" w:rsidRDefault="00000000">
      <w:pPr>
        <w:pStyle w:val="Heading3"/>
      </w:pPr>
      <w:r>
        <w:t>Comment 1: Novelty of the proposed method</w:t>
      </w:r>
    </w:p>
    <w:p w14:paraId="231CC3F1" w14:textId="77777777" w:rsidR="001A0B1E" w:rsidRDefault="00000000">
      <w:r>
        <w:rPr>
          <w:b/>
        </w:rPr>
        <w:t>Reviewer comment:</w:t>
      </w:r>
      <w:r>
        <w:t xml:space="preserve"> </w:t>
      </w:r>
      <w:r>
        <w:rPr>
          <w:i/>
        </w:rPr>
        <w:t xml:space="preserve">The manuscript needs to further clarify the substantive novelty of the proposed method. M2FA-Net mainly consists of dual-branch DeepLabV3-ResNet50 backbones, multi-level feature concatenation followed by 1×1 convolution, CBAM, deep supervision, and a composite </w:t>
      </w:r>
      <w:proofErr w:type="spellStart"/>
      <w:r>
        <w:rPr>
          <w:i/>
        </w:rPr>
        <w:t>CE+Dice+Boundary</w:t>
      </w:r>
      <w:proofErr w:type="spellEnd"/>
      <w:r>
        <w:rPr>
          <w:i/>
        </w:rPr>
        <w:t xml:space="preserve"> loss, most of which are well-established techniques. The authors are encouraged to further clarify the fundamental differences between the proposed framework and existing RGB–multispectral multi-level fusion methods in terms of fusion locations, information interaction mechanisms, or feature selection strategies. In particular, the methodological novelty of the proposed multi-level fusion strategy should be explicitly demonstrated, rather than presenting the framework primarily as a combination of existing modules.</w:t>
      </w:r>
    </w:p>
    <w:p w14:paraId="2195BDE8" w14:textId="77777777" w:rsidR="001A0B1E" w:rsidRDefault="00000000">
      <w:r>
        <w:rPr>
          <w:b/>
        </w:rPr>
        <w:t>Response.</w:t>
      </w:r>
      <w:r>
        <w:t xml:space="preserve"> We thank the reviewer for this important comment. We agree that the individual building blocks of M²FA-Net (dual-branch DeepLabV3-ResNet50 encoders, concatenation with a 1×1 convolution, CBAM, deep supervision, and a </w:t>
      </w:r>
      <w:proofErr w:type="spellStart"/>
      <w:r>
        <w:t>CE+Dice+Boundary</w:t>
      </w:r>
      <w:proofErr w:type="spellEnd"/>
      <w:r>
        <w:t xml:space="preserve"> loss) are well established, and we do not claim novelty for any of them in isolation. Our contribution lies in how they are arranged to integrate RGB imagery with spectral and vegetation-index data whose statistics differ. Following the reviewer's suggestion, we now state explicitly how the framework differs from existing RGB–multispectral approaches along the three axes the reviewer </w:t>
      </w:r>
      <w:proofErr w:type="gramStart"/>
      <w:r>
        <w:t>mentions</w:t>
      </w:r>
      <w:proofErr w:type="gramEnd"/>
      <w:r>
        <w:t>:</w:t>
      </w:r>
    </w:p>
    <w:p w14:paraId="08A34075" w14:textId="77777777" w:rsidR="001A0B1E" w:rsidRDefault="00000000">
      <w:pPr>
        <w:pStyle w:val="ListParagraph"/>
        <w:numPr>
          <w:ilvl w:val="0"/>
          <w:numId w:val="2"/>
        </w:numPr>
      </w:pPr>
      <w:r>
        <w:rPr>
          <w:b/>
        </w:rPr>
        <w:t>Fusion location.</w:t>
      </w:r>
      <w:r>
        <w:t xml:space="preserve"> Two modality-specific encoders are fused at every one of the four encoder stages, covering low-, mid-, and high-level features, rather than at the input (channel stacking) or at a single late stage.</w:t>
      </w:r>
    </w:p>
    <w:p w14:paraId="79EC6D71" w14:textId="77777777" w:rsidR="001A0B1E" w:rsidRDefault="00000000">
      <w:pPr>
        <w:pStyle w:val="ListParagraph"/>
        <w:numPr>
          <w:ilvl w:val="0"/>
          <w:numId w:val="2"/>
        </w:numPr>
      </w:pPr>
      <w:r>
        <w:rPr>
          <w:b/>
        </w:rPr>
        <w:lastRenderedPageBreak/>
        <w:t>Information interaction.</w:t>
      </w:r>
      <w:r>
        <w:t xml:space="preserve"> At each stage, the concatenated features are mixed by a learned 1×1 convolution and then recalibrated by CBAM, so the two modalities interact at every scale while each encoder keeps its own input statistics.</w:t>
      </w:r>
    </w:p>
    <w:p w14:paraId="7E2F76F1" w14:textId="77777777" w:rsidR="001A0B1E" w:rsidRDefault="00000000">
      <w:pPr>
        <w:pStyle w:val="ListParagraph"/>
        <w:numPr>
          <w:ilvl w:val="0"/>
          <w:numId w:val="2"/>
        </w:numPr>
      </w:pPr>
      <w:r>
        <w:rPr>
          <w:b/>
        </w:rPr>
        <w:t>Feature selection.</w:t>
      </w:r>
      <w:r>
        <w:t xml:space="preserve"> CBAM channel attention can re-weight RGB-derived versus spectral and vegetation-index channels, and spatial attention can localize where each is informative. Auxiliary classifiers on the intermediate fused features give every fusion stage a direct gradient signal.</w:t>
      </w:r>
    </w:p>
    <w:p w14:paraId="7DF2F528" w14:textId="77777777" w:rsidR="001A0B1E" w:rsidRDefault="00000000">
      <w:r>
        <w:t>In addition, we have (</w:t>
      </w:r>
      <w:proofErr w:type="spellStart"/>
      <w:r>
        <w:t>i</w:t>
      </w:r>
      <w:proofErr w:type="spellEnd"/>
      <w:r>
        <w:t>) added to the Introduction a discussion of the individual strengths and limitations of CNN-based, attention-based, transformer-based, and early-fusion approaches, which motivates why each component is included and why none of them suffices alone; (ii) merged the feature extraction and fusion descriptions into a single subsection that explains the four encoder stages and why fusion is applied at each; and (iii) qualified our statement about multi-level fusion being under-explored, and added a conceptual comparison of fusion strategies (Table 1).</w:t>
      </w:r>
    </w:p>
    <w:p w14:paraId="6CB3F83D" w14:textId="77777777" w:rsidR="001A0B1E" w:rsidRDefault="00000000">
      <w:r>
        <w:rPr>
          <w:b/>
        </w:rPr>
        <w:t>Changes in the manuscript:</w:t>
      </w:r>
    </w:p>
    <w:p w14:paraId="4F472DFA" w14:textId="77777777" w:rsidR="001A0B1E" w:rsidRDefault="00000000">
      <w:pPr>
        <w:pStyle w:val="ListParagraph"/>
        <w:numPr>
          <w:ilvl w:val="0"/>
          <w:numId w:val="3"/>
        </w:numPr>
      </w:pPr>
      <w:r>
        <w:t xml:space="preserve">Introduction (Section 1), page 4, lines </w:t>
      </w:r>
      <w:proofErr w:type="gramStart"/>
      <w:r>
        <w:t>[ ]</w:t>
      </w:r>
      <w:proofErr w:type="gramEnd"/>
      <w:r>
        <w:t>: added the paragraph on the strengths and limitations of each family of approaches, a sentence on the four fusion stages, and a paragraph on the three differences above.</w:t>
      </w:r>
    </w:p>
    <w:p w14:paraId="78BBA65C" w14:textId="77777777" w:rsidR="001A0B1E" w:rsidRDefault="00000000">
      <w:pPr>
        <w:pStyle w:val="ListParagraph"/>
        <w:numPr>
          <w:ilvl w:val="0"/>
          <w:numId w:val="3"/>
        </w:numPr>
      </w:pPr>
      <w:r>
        <w:t>Contributions list, page 5: added a contribution on the input-modality ablation.</w:t>
      </w:r>
    </w:p>
    <w:p w14:paraId="51EA0FC2" w14:textId="77777777" w:rsidR="001A0B1E" w:rsidRDefault="00000000">
      <w:pPr>
        <w:pStyle w:val="ListParagraph"/>
        <w:numPr>
          <w:ilvl w:val="0"/>
          <w:numId w:val="3"/>
        </w:numPr>
      </w:pPr>
      <w:r>
        <w:t>Related Works, Section 2.3, pages 6–7: qualified the statement on multi-level fusion and added Table 1.</w:t>
      </w:r>
    </w:p>
    <w:p w14:paraId="1B6B5487" w14:textId="77777777" w:rsidR="001A0B1E" w:rsidRDefault="00000000">
      <w:pPr>
        <w:pStyle w:val="ListParagraph"/>
        <w:numPr>
          <w:ilvl w:val="0"/>
          <w:numId w:val="3"/>
        </w:numPr>
      </w:pPr>
      <w:r>
        <w:t>Methodology, Section 3.2.1, pages 9–10: merged “Dual branch Backbone”, “Multi-Level Feature Extraction”, and “Multi-Level Feature Fusion” into one subsection.</w:t>
      </w:r>
    </w:p>
    <w:p w14:paraId="7F968AB8" w14:textId="77777777" w:rsidR="001A0B1E" w:rsidRDefault="00000000">
      <w:r>
        <w:rPr>
          <w:b/>
        </w:rPr>
        <w:t>Revised manuscript text (new or changed text is shown in red in the manuscript):</w:t>
      </w:r>
    </w:p>
    <w:p w14:paraId="4D54A037" w14:textId="77777777" w:rsidR="001A0B1E" w:rsidRDefault="00000000">
      <w:pPr>
        <w:pStyle w:val="Quote"/>
      </w:pPr>
      <w:r>
        <w:t xml:space="preserve">Introduction. Each family of approaches has a particular strength and a particular gap for weedy rice. CNN encoder–decoders such as U-Net and DeepLabV3 have a local texture and a multi-scale context due to the use of </w:t>
      </w:r>
      <w:proofErr w:type="spellStart"/>
      <w:r>
        <w:t>atrous</w:t>
      </w:r>
      <w:proofErr w:type="spellEnd"/>
      <w:r>
        <w:t xml:space="preserve"> convolution but the receptive fields are limited and reasoning across overlapping plants is difficult. Attention modules such as CBAM can adjust the channel and spatial locations at a low cost, but </w:t>
      </w:r>
      <w:proofErr w:type="spellStart"/>
      <w:r>
        <w:t>can not</w:t>
      </w:r>
      <w:proofErr w:type="spellEnd"/>
      <w:r>
        <w:t xml:space="preserve"> enhance the features extracted by the backbone. Transformer-based models can capture global context but require large annotated datasets and heavy computation, which is unaffordable for small UAV datasets and field deployment. Multispectral bands and vegetation indices can add physiological cues that RGB lacks, but they are usually combined with RGB by stacking channels at the input, which forces one set of early filters to model modalities with different statistics. No single ingredient closes all of these gaps.</w:t>
      </w:r>
    </w:p>
    <w:p w14:paraId="4293430F" w14:textId="77777777" w:rsidR="001A0B1E" w:rsidRDefault="00000000">
      <w:pPr>
        <w:pStyle w:val="Quote"/>
      </w:pPr>
      <w:r>
        <w:t>Introduction (added after the paragraph beginning “To address these limitations”). Concretely, two modality-specific encoders are fused at each of the four encoder stages by concatenation and a learned 1×1 convolution, and we also evaluate each input modality separately (Section 5.2). While each building block is established, the novelty of M²FA-Net lies in how they are arranged, which differs from existing RGB–multispectral approaches along three axes. (</w:t>
      </w:r>
      <w:proofErr w:type="spellStart"/>
      <w:r>
        <w:t>i</w:t>
      </w:r>
      <w:proofErr w:type="spellEnd"/>
      <w:r>
        <w:t xml:space="preserve">) Fusion location: two modality-specific encoders are fused at every encoder stage rather than at the input or at a single late stage. (ii) Information interaction: at each stage, concatenated features are mixed by a learned </w:t>
      </w:r>
      <w:r>
        <w:lastRenderedPageBreak/>
        <w:t>1×1 convolution and then recalibrated by CBAM, so the modalities interact at every scale. (iii) Feature selection: CBAM channel attention can re-weight RGB-derived versus spectral and vegetation-index channels and spatial attention can localize where each is informative, while auxiliary classifiers on the intermediate fused features give every fusion stage a direct gradient signal.</w:t>
      </w:r>
    </w:p>
    <w:p w14:paraId="26807190" w14:textId="77777777" w:rsidR="001A0B1E" w:rsidRDefault="00000000">
      <w:pPr>
        <w:pStyle w:val="Quote"/>
      </w:pPr>
      <w:r>
        <w:t>Related Works. Multi-level hierarchical fusion of RGB and multispectral representations remains less explored in agricultural semantic segmentation, whereas multi-level hierarchical fusion has been studied for RGB-D and RGB-thermal segmentation. Table 1 summarizes how the fusion strategy of M²FA-Net differs from the common alternatives in fusion location, information interaction, and supervision.</w:t>
      </w:r>
    </w:p>
    <w:p w14:paraId="2891765C" w14:textId="77777777" w:rsidR="001A0B1E" w:rsidRDefault="00000000">
      <w:pPr>
        <w:pStyle w:val="Quote"/>
      </w:pPr>
      <w:r>
        <w:t>Methodology, Dual-Stream Multi-Level Feature Extraction and Fusion. We employ two independent DeepLabV3-ResNet50 encoders pretrained on the COCO-with-VOC-labels benchmark: an RGB encoder that processes the three-channel RGB image, and a multispectral encoder that processes the six-channel multispectral input containing spectral bands and vegetation indices. […] At each of the four encoder stages, the stages represent different semantic levels: low-level features capture edges, textures, and local structures; mid-level features capture plant structures and shape information; and high-level features capture semantic representations of crops and weeds. […] Rather than restricting fusion to the final layers as seen in traditional late-fusion setups, this framework fuses the two streams at every one of these stages, because each level carries a different kind of cross-modal complementarity, and fusing only at the input or output would leave the remaining levels unexploited.</w:t>
      </w:r>
    </w:p>
    <w:p w14:paraId="6F76611D" w14:textId="77777777" w:rsidR="001A0B1E" w:rsidRDefault="00000000">
      <w:pPr>
        <w:pStyle w:val="Heading3"/>
      </w:pPr>
      <w:r>
        <w:t>Comment 2: Input-modality ablation</w:t>
      </w:r>
    </w:p>
    <w:p w14:paraId="2B78907E" w14:textId="77777777" w:rsidR="001A0B1E" w:rsidRDefault="00000000">
      <w:r>
        <w:rPr>
          <w:b/>
        </w:rPr>
        <w:t>Reviewer comment:</w:t>
      </w:r>
      <w:r>
        <w:t xml:space="preserve"> </w:t>
      </w:r>
      <w:r>
        <w:rPr>
          <w:i/>
        </w:rPr>
        <w:t>The effectiveness of the multimodal inputs has not been sufficiently validated through ablation experiments. The multispectral branch incorporates G, R, RE, and NIR bands, together with NDVI and NDRE, resulting in six additional channels. However, the current ablation experiments mainly compare configurations such as “No Multi-Level Fusion,” “No CBAM,” and “No Deep Supervision,” without directly evaluating the performance differences among “RGB,” “RGB + four multispectral bands,” “RGB + multispectral bands + NDVI,” and “RGB + multispectral bands + NDVI + NDRE.” The authors are therefore encouraged to conduct input-modality ablation experiments to quantitatively determine the individual contributions of the multispectral information and the two vegetation indices.</w:t>
      </w:r>
    </w:p>
    <w:p w14:paraId="4B4C0E76" w14:textId="77777777" w:rsidR="001A0B1E" w:rsidRDefault="00000000">
      <w:r>
        <w:rPr>
          <w:b/>
        </w:rPr>
        <w:t>Response.</w:t>
      </w:r>
      <w:r>
        <w:t xml:space="preserve"> We thank the reviewer for this constructive suggestion. We agree that the contribution of each input should be quantified directly, and we have conducted the requested input-modality ablation (new Section 5.2 and the bar graph in Fig. 7 of the revised manuscript). We keep the dual-stream M²FA-Net architecture fixed and vary only the inputs: (</w:t>
      </w:r>
      <w:proofErr w:type="spellStart"/>
      <w:r>
        <w:t>i</w:t>
      </w:r>
      <w:proofErr w:type="spellEnd"/>
      <w:r>
        <w:t>) RGB only; (ii) RGB plus the four multispectral bands (MS4: G, R, RE, NIR); (iii) MS4 plus NDVI; and (iv) MS4 plus NDVI and NDRE (the full model). All other settings are identical, and results are reported as mean ± standard deviation over [N] runs with different seeds.</w:t>
      </w:r>
    </w:p>
    <w:tbl>
      <w:tblPr>
        <w:tblStyle w:val="TableGrid"/>
        <w:tblW w:w="0" w:type="auto"/>
        <w:tblLayout w:type="fixed"/>
        <w:tblLook w:val="0420" w:firstRow="1" w:lastRow="0" w:firstColumn="0" w:lastColumn="0" w:noHBand="0" w:noVBand="1"/>
      </w:tblPr>
      <w:tblGrid>
        <w:gridCol w:w="5070"/>
        <w:gridCol w:w="2144"/>
        <w:gridCol w:w="2144"/>
      </w:tblGrid>
      <w:tr w:rsidR="001A0B1E" w14:paraId="2815ECE6" w14:textId="77777777">
        <w:trPr>
          <w:tblHeader/>
        </w:trPr>
        <w:tc>
          <w:tcPr>
            <w:tcW w:w="5070" w:type="dxa"/>
            <w:shd w:val="clear" w:color="auto" w:fill="F2F2F2"/>
          </w:tcPr>
          <w:p w14:paraId="3FD392CB" w14:textId="77777777" w:rsidR="001A0B1E" w:rsidRDefault="00000000">
            <w:r>
              <w:t>Input setting</w:t>
            </w:r>
          </w:p>
        </w:tc>
        <w:tc>
          <w:tcPr>
            <w:tcW w:w="2144" w:type="dxa"/>
            <w:shd w:val="clear" w:color="auto" w:fill="F2F2F2"/>
          </w:tcPr>
          <w:p w14:paraId="32B34BFD" w14:textId="77777777" w:rsidR="001A0B1E" w:rsidRDefault="00000000">
            <w:proofErr w:type="spellStart"/>
            <w:r>
              <w:t>IoU</w:t>
            </w:r>
            <w:proofErr w:type="spellEnd"/>
            <w:r>
              <w:t xml:space="preserve"> (%)</w:t>
            </w:r>
          </w:p>
        </w:tc>
        <w:tc>
          <w:tcPr>
            <w:tcW w:w="2144" w:type="dxa"/>
            <w:shd w:val="clear" w:color="auto" w:fill="F2F2F2"/>
          </w:tcPr>
          <w:p w14:paraId="23770560" w14:textId="77777777" w:rsidR="001A0B1E" w:rsidRDefault="00000000">
            <w:r>
              <w:t>Dice (%)</w:t>
            </w:r>
          </w:p>
        </w:tc>
      </w:tr>
      <w:tr w:rsidR="001A0B1E" w14:paraId="1D0C865A" w14:textId="77777777">
        <w:tc>
          <w:tcPr>
            <w:tcW w:w="5070" w:type="dxa"/>
          </w:tcPr>
          <w:p w14:paraId="6C2DEFCB" w14:textId="77777777" w:rsidR="001A0B1E" w:rsidRDefault="00000000">
            <w:r>
              <w:t>RGB only</w:t>
            </w:r>
          </w:p>
        </w:tc>
        <w:tc>
          <w:tcPr>
            <w:tcW w:w="2144" w:type="dxa"/>
          </w:tcPr>
          <w:p w14:paraId="39554073" w14:textId="77777777" w:rsidR="001A0B1E" w:rsidRDefault="00000000">
            <w:r>
              <w:t>83.11 ± 1.24</w:t>
            </w:r>
          </w:p>
        </w:tc>
        <w:tc>
          <w:tcPr>
            <w:tcW w:w="2144" w:type="dxa"/>
          </w:tcPr>
          <w:p w14:paraId="16963F71" w14:textId="77777777" w:rsidR="001A0B1E" w:rsidRDefault="00000000">
            <w:r>
              <w:t>90.77 ± 0.75</w:t>
            </w:r>
          </w:p>
        </w:tc>
      </w:tr>
      <w:tr w:rsidR="001A0B1E" w14:paraId="468FE3F9" w14:textId="77777777">
        <w:tc>
          <w:tcPr>
            <w:tcW w:w="5070" w:type="dxa"/>
          </w:tcPr>
          <w:p w14:paraId="048AFC4C" w14:textId="77777777" w:rsidR="001A0B1E" w:rsidRDefault="00000000">
            <w:r>
              <w:lastRenderedPageBreak/>
              <w:t>RGB + MS4</w:t>
            </w:r>
          </w:p>
        </w:tc>
        <w:tc>
          <w:tcPr>
            <w:tcW w:w="2144" w:type="dxa"/>
          </w:tcPr>
          <w:p w14:paraId="62FD9BAA" w14:textId="77777777" w:rsidR="001A0B1E" w:rsidRDefault="00000000">
            <w:r>
              <w:t>83.75 ± 0.10</w:t>
            </w:r>
          </w:p>
        </w:tc>
        <w:tc>
          <w:tcPr>
            <w:tcW w:w="2144" w:type="dxa"/>
          </w:tcPr>
          <w:p w14:paraId="3649C178" w14:textId="77777777" w:rsidR="001A0B1E" w:rsidRDefault="00000000">
            <w:r>
              <w:t>91.15 ± 0.06</w:t>
            </w:r>
          </w:p>
        </w:tc>
      </w:tr>
      <w:tr w:rsidR="001A0B1E" w14:paraId="1481862E" w14:textId="77777777">
        <w:tc>
          <w:tcPr>
            <w:tcW w:w="5070" w:type="dxa"/>
          </w:tcPr>
          <w:p w14:paraId="192996F5" w14:textId="77777777" w:rsidR="001A0B1E" w:rsidRDefault="00000000">
            <w:r>
              <w:t>RGB + MS4 + NDVI</w:t>
            </w:r>
          </w:p>
        </w:tc>
        <w:tc>
          <w:tcPr>
            <w:tcW w:w="2144" w:type="dxa"/>
          </w:tcPr>
          <w:p w14:paraId="6B910420" w14:textId="77777777" w:rsidR="001A0B1E" w:rsidRDefault="00000000">
            <w:r>
              <w:t>83.68 ± 0.19</w:t>
            </w:r>
          </w:p>
        </w:tc>
        <w:tc>
          <w:tcPr>
            <w:tcW w:w="2144" w:type="dxa"/>
          </w:tcPr>
          <w:p w14:paraId="355838A3" w14:textId="77777777" w:rsidR="001A0B1E" w:rsidRDefault="00000000">
            <w:r>
              <w:t>91.12 ± 0.11</w:t>
            </w:r>
          </w:p>
        </w:tc>
      </w:tr>
      <w:tr w:rsidR="001A0B1E" w14:paraId="254E7C9F" w14:textId="77777777">
        <w:tc>
          <w:tcPr>
            <w:tcW w:w="5070" w:type="dxa"/>
          </w:tcPr>
          <w:p w14:paraId="480558B2" w14:textId="77777777" w:rsidR="001A0B1E" w:rsidRDefault="00000000">
            <w:r>
              <w:t>RGB + MS4 + NDVI + NDRE (full)</w:t>
            </w:r>
          </w:p>
        </w:tc>
        <w:tc>
          <w:tcPr>
            <w:tcW w:w="2144" w:type="dxa"/>
          </w:tcPr>
          <w:p w14:paraId="1028712B" w14:textId="77777777" w:rsidR="001A0B1E" w:rsidRDefault="00000000">
            <w:r>
              <w:t>83.81 ± 0.18</w:t>
            </w:r>
          </w:p>
        </w:tc>
        <w:tc>
          <w:tcPr>
            <w:tcW w:w="2144" w:type="dxa"/>
          </w:tcPr>
          <w:p w14:paraId="7A8A438D" w14:textId="77777777" w:rsidR="001A0B1E" w:rsidRDefault="00000000">
            <w:r>
              <w:t>91.19 ± 0.11</w:t>
            </w:r>
          </w:p>
        </w:tc>
      </w:tr>
    </w:tbl>
    <w:p w14:paraId="4F0FB81A" w14:textId="77777777" w:rsidR="001A0B1E" w:rsidRDefault="00000000">
      <w:r>
        <w:t>Three findings follow. First, the multispectral bands give a modest but consistent gain over RGB alone (</w:t>
      </w:r>
      <w:proofErr w:type="spellStart"/>
      <w:r>
        <w:t>IoU</w:t>
      </w:r>
      <w:proofErr w:type="spellEnd"/>
      <w:r>
        <w:t xml:space="preserve"> +0.64 points, Dice +0.38 points) and make training much more stable (</w:t>
      </w:r>
      <w:proofErr w:type="spellStart"/>
      <w:r>
        <w:t>IoU</w:t>
      </w:r>
      <w:proofErr w:type="spellEnd"/>
      <w:r>
        <w:t xml:space="preserve"> standard deviation falls from 1.24 to 0.10). Second, the vegetation indices add no measurable improvement beyond the raw bands: NDVI changes </w:t>
      </w:r>
      <w:proofErr w:type="spellStart"/>
      <w:r>
        <w:t>IoU</w:t>
      </w:r>
      <w:proofErr w:type="spellEnd"/>
      <w:r>
        <w:t xml:space="preserve"> by −0.07 points and NDRE by +0.13 points, both smaller than the run-to-run standard deviation. This is plausible because both indices are deterministic functions of bands that the network already receives. Third, because the RGB-only runs vary more (±1.24) than the gap to the multispectral settings, we describe the benefit of the bands as consistent in direction but modest, and we do not claim a statistically significant difference. We have revised the Abstract, the contributions, the Conclusion, and the Limitations so that they reflect these findings.</w:t>
      </w:r>
    </w:p>
    <w:p w14:paraId="29169D35" w14:textId="77777777" w:rsidR="001A0B1E" w:rsidRDefault="00000000">
      <w:r>
        <w:rPr>
          <w:b/>
        </w:rPr>
        <w:t>Changes in the manuscript:</w:t>
      </w:r>
    </w:p>
    <w:p w14:paraId="6399B2F9" w14:textId="77777777" w:rsidR="001A0B1E" w:rsidRDefault="00000000">
      <w:pPr>
        <w:pStyle w:val="ListParagraph"/>
        <w:numPr>
          <w:ilvl w:val="0"/>
          <w:numId w:val="4"/>
        </w:numPr>
      </w:pPr>
      <w:r>
        <w:t>New subsection “Input-Modality Ablation” (Section 5.2, page 18) with the bar graph in Fig. 7 (page 20).</w:t>
      </w:r>
    </w:p>
    <w:p w14:paraId="1A73E78E" w14:textId="77777777" w:rsidR="001A0B1E" w:rsidRDefault="00000000">
      <w:pPr>
        <w:pStyle w:val="ListParagraph"/>
        <w:numPr>
          <w:ilvl w:val="0"/>
          <w:numId w:val="4"/>
        </w:numPr>
      </w:pPr>
      <w:r>
        <w:t>Abstract, page 2: added a sentence on the modality findings and moderated the closing claim.</w:t>
      </w:r>
    </w:p>
    <w:p w14:paraId="6B86F80B" w14:textId="77777777" w:rsidR="001A0B1E" w:rsidRDefault="00000000">
      <w:pPr>
        <w:pStyle w:val="ListParagraph"/>
        <w:numPr>
          <w:ilvl w:val="0"/>
          <w:numId w:val="4"/>
        </w:numPr>
      </w:pPr>
      <w:r>
        <w:t>Contributions list, page 5: added a contribution on the modality ablation.</w:t>
      </w:r>
    </w:p>
    <w:p w14:paraId="33E6A672" w14:textId="77777777" w:rsidR="001A0B1E" w:rsidRDefault="00000000">
      <w:pPr>
        <w:pStyle w:val="ListParagraph"/>
        <w:numPr>
          <w:ilvl w:val="0"/>
          <w:numId w:val="4"/>
        </w:numPr>
      </w:pPr>
      <w:r>
        <w:t>Conclusion (Section 6), page 23: added the modality findings.</w:t>
      </w:r>
    </w:p>
    <w:p w14:paraId="328C4559" w14:textId="77777777" w:rsidR="001A0B1E" w:rsidRDefault="00000000">
      <w:r>
        <w:rPr>
          <w:b/>
        </w:rPr>
        <w:t>Revised manuscript text:</w:t>
      </w:r>
    </w:p>
    <w:p w14:paraId="4A4D2A51" w14:textId="77777777" w:rsidR="001A0B1E" w:rsidRDefault="00000000">
      <w:pPr>
        <w:pStyle w:val="Quote"/>
      </w:pPr>
      <w:r>
        <w:t xml:space="preserve">Input-Modality Ablation. Adding the four multispectral bands raises </w:t>
      </w:r>
      <w:proofErr w:type="spellStart"/>
      <w:r>
        <w:t>IoU</w:t>
      </w:r>
      <w:proofErr w:type="spellEnd"/>
      <w:r>
        <w:t xml:space="preserve"> from 83.11% to 83.75% (+0.64 points) and Dice from 90.77% to 91.15% (+0.38 points). The gain is small in absolute terms, but it comes with a marked reduction in run-to-run variability: the </w:t>
      </w:r>
      <w:proofErr w:type="spellStart"/>
      <w:r>
        <w:t>IoU</w:t>
      </w:r>
      <w:proofErr w:type="spellEnd"/>
      <w:r>
        <w:t xml:space="preserve"> standard deviation drops from 1.24 to 0.10. Adding NDVI changes </w:t>
      </w:r>
      <w:proofErr w:type="spellStart"/>
      <w:r>
        <w:t>IoU</w:t>
      </w:r>
      <w:proofErr w:type="spellEnd"/>
      <w:r>
        <w:t xml:space="preserve"> by −0.07 points, and adding NDRE on top of NDVI changes it by +0.13 points; both changes are smaller than the standard deviation of the corresponding runs. The vegetation indices therefore give no measurable improvement beyond the raw bands in our setting, which is plausible because both indices are deterministic functions of bands that the network already receives. Since the RGB-only runs vary more than the gap to the multispectral settings, we regard the improvement from the bands as consistent in direction but modest, and we do not claim a statistically significant difference.</w:t>
      </w:r>
    </w:p>
    <w:p w14:paraId="0D5D4E1B" w14:textId="77777777" w:rsidR="001A0B1E" w:rsidRDefault="00000000">
      <w:pPr>
        <w:pStyle w:val="Heading3"/>
      </w:pPr>
      <w:r>
        <w:t>Comment 3: Dataset size, single region, and possible spatial leakage</w:t>
      </w:r>
    </w:p>
    <w:p w14:paraId="4F8A0BC5" w14:textId="77777777" w:rsidR="001A0B1E" w:rsidRDefault="00000000">
      <w:r>
        <w:rPr>
          <w:b/>
        </w:rPr>
        <w:t>Reviewer comment:</w:t>
      </w:r>
      <w:r>
        <w:t xml:space="preserve"> </w:t>
      </w:r>
      <w:r>
        <w:rPr>
          <w:i/>
        </w:rPr>
        <w:t xml:space="preserve">The dataset is relatively small and derived from a single geographic region, and the claims regarding generalization should therefore be made more cautiously. The experiments are conducted solely on the </w:t>
      </w:r>
      <w:proofErr w:type="spellStart"/>
      <w:r>
        <w:rPr>
          <w:i/>
        </w:rPr>
        <w:t>WeedyRice</w:t>
      </w:r>
      <w:proofErr w:type="spellEnd"/>
      <w:r>
        <w:rPr>
          <w:i/>
        </w:rPr>
        <w:t xml:space="preserve">-RGBMS-DB dataset, which contains 734 samples, including 438 training, 148 validation, and 148 test samples, collected in </w:t>
      </w:r>
      <w:proofErr w:type="gramStart"/>
      <w:r>
        <w:rPr>
          <w:i/>
        </w:rPr>
        <w:t>An</w:t>
      </w:r>
      <w:proofErr w:type="gramEnd"/>
      <w:r>
        <w:rPr>
          <w:i/>
        </w:rPr>
        <w:t xml:space="preserve"> Giang Province, Vietnam. The authors should clarify whether these samples originate from different fields, UAV flight missions, or acquisition dates, and whether spatially adjacent or temporally consecutive images are distributed across the training and test sets. Such information is important for assessing the possibility of spatial data leakage. </w:t>
      </w:r>
      <w:r>
        <w:rPr>
          <w:i/>
        </w:rPr>
        <w:lastRenderedPageBreak/>
        <w:t>Cross-field, cross-temporal, or external-dataset evaluation would further strengthen the evidence for model generalization. If such experiments cannot be conducted, the authors should explicitly acknowledge in the limitations that the reported results primarily reflect generalization within a single dataset.</w:t>
      </w:r>
    </w:p>
    <w:p w14:paraId="7DF2539D" w14:textId="77777777" w:rsidR="001A0B1E" w:rsidRDefault="00000000">
      <w:r>
        <w:rPr>
          <w:b/>
        </w:rPr>
        <w:t>Response.</w:t>
      </w:r>
      <w:r>
        <w:t xml:space="preserve"> We thank the reviewer for raising this important point, and we agree that the claims about generalization should be scoped to what a single dataset can support.</w:t>
      </w:r>
    </w:p>
    <w:p w14:paraId="547EA013" w14:textId="77777777" w:rsidR="001A0B1E" w:rsidRDefault="00000000">
      <w:r>
        <w:rPr>
          <w:i/>
        </w:rPr>
        <w:t>Provenance of the split.</w:t>
      </w:r>
      <w:r>
        <w:t xml:space="preserve"> We did not construct the dataset or its split. The 438/148/148 partition is the one supplied with </w:t>
      </w:r>
      <w:proofErr w:type="spellStart"/>
      <w:r>
        <w:t>WeedyRice</w:t>
      </w:r>
      <w:proofErr w:type="spellEnd"/>
      <w:r>
        <w:t>-RGBMS-DB by its creators, and we used it unchanged so that our results and all eleven baselines are evaluated under one common, publicly defined protocol.</w:t>
      </w:r>
    </w:p>
    <w:p w14:paraId="18CFE46D" w14:textId="77777777" w:rsidR="001A0B1E" w:rsidRDefault="00000000">
      <w:r>
        <w:rPr>
          <w:i/>
        </w:rPr>
        <w:t>What the dataset documentation states.</w:t>
      </w:r>
      <w:r>
        <w:t xml:space="preserve"> The samples were captured with a UAV over rice fields in </w:t>
      </w:r>
      <w:proofErr w:type="gramStart"/>
      <w:r>
        <w:t>An</w:t>
      </w:r>
      <w:proofErr w:type="gramEnd"/>
      <w:r>
        <w:t xml:space="preserve"> Giang Province, Vietnam, across three cropping seasons, and the metadata include GPS coordinates, timestamps, and file mappings. The documentation does not state which field or flight each sample belongs to, nor whether the split was separated by field, flight, or date. We therefore cannot rule out that spatially adjacent or temporally consecutive frames appear in different partitions, and we now say so explicitly.</w:t>
      </w:r>
    </w:p>
    <w:p w14:paraId="7A7AF62C" w14:textId="77777777" w:rsidR="001A0B1E" w:rsidRDefault="00000000">
      <w:r>
        <w:rPr>
          <w:i/>
        </w:rPr>
        <w:t>Revisions.</w:t>
      </w:r>
      <w:r>
        <w:t xml:space="preserve"> We (</w:t>
      </w:r>
      <w:proofErr w:type="spellStart"/>
      <w:r>
        <w:t>i</w:t>
      </w:r>
      <w:proofErr w:type="spellEnd"/>
      <w:r>
        <w:t>) added a Limitations subsection stating that the reported results primarily reflect generalization within a single dataset, region, sensor, and image-level split, and that absolute scores may be optimistic under such a split; (ii) expanded the Dataset Description with the acquisition details and the provenance of the split; (iii) replaced the statement of “strong generalization capability” in the training-dynamics discussion, and moderated the wording in the Abstract and Conclusion; and (iv) clarified that comparisons among methods are made under one identical protocol. Cross-field, cross-season, and external-dataset evaluations could not be carried out within the revision period; we list them as the main direction of future work.</w:t>
      </w:r>
    </w:p>
    <w:p w14:paraId="5A42E840" w14:textId="77777777" w:rsidR="001A0B1E" w:rsidRDefault="00000000">
      <w:r>
        <w:rPr>
          <w:b/>
        </w:rPr>
        <w:t>Changes in the manuscript:</w:t>
      </w:r>
    </w:p>
    <w:p w14:paraId="53D4B93D" w14:textId="77777777" w:rsidR="001A0B1E" w:rsidRDefault="00000000">
      <w:pPr>
        <w:pStyle w:val="ListParagraph"/>
        <w:numPr>
          <w:ilvl w:val="0"/>
          <w:numId w:val="5"/>
        </w:numPr>
      </w:pPr>
      <w:r>
        <w:t>Dataset Description, Section 4.1, page 13: added acquisition and split-provenance details.</w:t>
      </w:r>
    </w:p>
    <w:p w14:paraId="22D338C5" w14:textId="77777777" w:rsidR="001A0B1E" w:rsidRDefault="00000000">
      <w:pPr>
        <w:pStyle w:val="ListParagraph"/>
        <w:numPr>
          <w:ilvl w:val="0"/>
          <w:numId w:val="5"/>
        </w:numPr>
      </w:pPr>
      <w:r>
        <w:t>New subsection “Limitations”, Section 5.5, pages 22–23.</w:t>
      </w:r>
    </w:p>
    <w:p w14:paraId="1C35AEB7" w14:textId="77777777" w:rsidR="001A0B1E" w:rsidRDefault="00000000">
      <w:pPr>
        <w:pStyle w:val="ListParagraph"/>
        <w:numPr>
          <w:ilvl w:val="0"/>
          <w:numId w:val="5"/>
        </w:numPr>
      </w:pPr>
      <w:r>
        <w:t>Hyperparameter Sensitivity Analysis (Section 5.4, training dynamics), page 21; Abstract, page 2; Conclusion, page 23: moderated wording.</w:t>
      </w:r>
    </w:p>
    <w:p w14:paraId="527C7174" w14:textId="77777777" w:rsidR="001A0B1E" w:rsidRDefault="00000000">
      <w:r>
        <w:rPr>
          <w:b/>
        </w:rPr>
        <w:t>Revised manuscript text:</w:t>
      </w:r>
    </w:p>
    <w:p w14:paraId="0B195A37" w14:textId="77777777" w:rsidR="001A0B1E" w:rsidRDefault="00000000">
      <w:pPr>
        <w:pStyle w:val="Quote"/>
      </w:pPr>
      <w:r>
        <w:t>Dataset Description. The imagery was acquired across three cropping seasons. We use the train/validation/test partition (438/148/148) supplied by the dataset authors without modification, so that our results are comparable under a common, publicly defined protocol. The public documentation does not specify the field, flight, or acquisition date of each sample, so we cannot exclude spatial adjacency or temporal continuity between partitions; this is discussed in Section 5.5.</w:t>
      </w:r>
    </w:p>
    <w:p w14:paraId="66A6B91C" w14:textId="77777777" w:rsidR="001A0B1E" w:rsidRDefault="00000000">
      <w:pPr>
        <w:pStyle w:val="Quote"/>
      </w:pPr>
      <w:r>
        <w:t>Limitations. This study has a few limitations. First, all experiments use a single dataset of 734 samples collected with one sensor in one region (</w:t>
      </w:r>
      <w:proofErr w:type="gramStart"/>
      <w:r>
        <w:t>An</w:t>
      </w:r>
      <w:proofErr w:type="gramEnd"/>
      <w:r>
        <w:t xml:space="preserve"> Giang, Vietnam), for a binary weedy-rice versus background task. Second, we use the image level split provided by the dataset authors. UAV frames are spatially and temporally correlated, and the available </w:t>
      </w:r>
      <w:r>
        <w:lastRenderedPageBreak/>
        <w:t>documentation does not indicate whether the partitions are separated by field, flight, or date; neighboring frames may therefore appear in both training and test sets, and the reported scores primarily reflect generalization within this dataset rather than transfer to unseen fields, seasons, or sensors. Third, although all methods are compared under an identical protocol, absolute metrics may be optimistic under such a split. Fourth, the input-modality ablation shows only a modest gain from the multispectral bands and none from the vegetation indices on this dataset, so the benefit of multispectral input may differ for other crops, growth stages, or sensors. Future work will evaluate cross-field and cross-season held-out protocols and external multispectral weed datasets to assess generalization more rigorously.</w:t>
      </w:r>
    </w:p>
    <w:p w14:paraId="25184BCD" w14:textId="77777777" w:rsidR="001A0B1E" w:rsidRDefault="00000000">
      <w:pPr>
        <w:pStyle w:val="Quote"/>
      </w:pPr>
      <w:r>
        <w:t>Training dynamics. “…the small gap between the training and validation curves suggests no sign of severe overfitting on this dataset (see Section 5.5 regarding correlation between the data partitions).”</w:t>
      </w:r>
    </w:p>
    <w:p w14:paraId="75B75F7B" w14:textId="1B104C0D" w:rsidR="001A0B1E" w:rsidRDefault="00EC149A" w:rsidP="00EC149A">
      <w:pPr>
        <w:pStyle w:val="Heading3"/>
      </w:pPr>
      <w:r>
        <w:t xml:space="preserve">Comment </w:t>
      </w:r>
      <w:r>
        <w:t>4</w:t>
      </w:r>
      <w:r>
        <w:t xml:space="preserve">: </w:t>
      </w:r>
      <w:r w:rsidRPr="00EC149A">
        <w:t>Spatial correlation and dataset splitting</w:t>
      </w:r>
    </w:p>
    <w:p w14:paraId="3DCE4E46" w14:textId="77777777" w:rsidR="00EC149A" w:rsidRDefault="00EC149A" w:rsidP="00EC149A">
      <w:pPr>
        <w:rPr>
          <w:lang w:val="en-IN"/>
        </w:rPr>
      </w:pPr>
      <w:r w:rsidRPr="00EC149A">
        <w:rPr>
          <w:b/>
          <w:bCs/>
          <w:lang w:val="en-IN"/>
        </w:rPr>
        <w:t xml:space="preserve">Response to Comment 4: </w:t>
      </w:r>
      <w:r w:rsidRPr="00EC149A">
        <w:rPr>
          <w:lang w:val="en-IN"/>
        </w:rPr>
        <w:t>We thank the reviewer for this valuable suggestion. As reported in the original dataset publication, the UAV images were acquired with 70% front and side overlap. We have used the original training, validation, and testing splits (438/148/148) provided by the dataset authors. However, the dataset documentation does not clearly specify whether these partitions were separated by field, spatial region, or acquisition session. We acknowledge the possibility of spatial correlation between the partitions and its potential influence on the reported performance. We have clarified this limitation in the Dataset Description and Limitations sections of the revised manuscript, with the changes highlighted in red.</w:t>
      </w:r>
    </w:p>
    <w:p w14:paraId="13907628" w14:textId="206FF6FB" w:rsidR="00676E54" w:rsidRPr="00676E54" w:rsidRDefault="00676E54" w:rsidP="00EC149A">
      <w:pPr>
        <w:rPr>
          <w:b/>
          <w:bCs/>
          <w:sz w:val="24"/>
          <w:szCs w:val="24"/>
          <w:lang w:val="en-IN"/>
        </w:rPr>
      </w:pPr>
      <w:r w:rsidRPr="00676E54">
        <w:rPr>
          <w:b/>
          <w:bCs/>
          <w:sz w:val="24"/>
          <w:szCs w:val="24"/>
        </w:rPr>
        <w:t>Comment 5: Computational complexity</w:t>
      </w:r>
    </w:p>
    <w:p w14:paraId="0A4464B6" w14:textId="23C89507" w:rsidR="00676E54" w:rsidRPr="00676E54" w:rsidRDefault="00676E54" w:rsidP="00676E54">
      <w:pPr>
        <w:rPr>
          <w:lang w:val="en-IN"/>
        </w:rPr>
      </w:pPr>
      <w:r w:rsidRPr="00676E54">
        <w:rPr>
          <w:b/>
          <w:bCs/>
          <w:lang w:val="en-IN"/>
        </w:rPr>
        <w:t>Response to Comment 5:</w:t>
      </w:r>
      <w:r w:rsidRPr="00676E54">
        <w:rPr>
          <w:lang w:val="en-IN"/>
        </w:rPr>
        <w:t xml:space="preserve"> We thank the reviewer for the constructive suggestion. We would like to clarify that the computational complexity analysis is already included in the manuscript. Table “Computational complexity comparison” reports the FLOPs and inference speed of the evaluated models, while the figure “Comparison of model complexity in terms of parameter count” presents their parameter requirements. We have highlighted these existing results in red for easy reference. We acknowledge that the reported 40.22 FPS was measured on the NVIDIA RTX A5000 GPU and does not directly establish real-time deployment feasibility on UAV platforms. Accordingly, we have clarified this limitation in the Computational Complexity Analysis section and identified edge-device evaluation as future work.</w:t>
      </w:r>
      <w:r w:rsidR="00115AAE">
        <w:rPr>
          <w:lang w:val="en-IN"/>
        </w:rPr>
        <w:t xml:space="preserve"> </w:t>
      </w:r>
      <w:proofErr w:type="gramStart"/>
      <w:r w:rsidR="00115AAE">
        <w:rPr>
          <w:lang w:val="en-IN"/>
        </w:rPr>
        <w:t>Also</w:t>
      </w:r>
      <w:proofErr w:type="gramEnd"/>
      <w:r w:rsidR="00115AAE">
        <w:rPr>
          <w:lang w:val="en-IN"/>
        </w:rPr>
        <w:t xml:space="preserve"> we have highlighted the corresponding graphs and tables.</w:t>
      </w:r>
    </w:p>
    <w:p w14:paraId="074EDCFE" w14:textId="77777777" w:rsidR="00676E54" w:rsidRPr="00EC149A" w:rsidRDefault="00676E54" w:rsidP="00EC149A">
      <w:pPr>
        <w:rPr>
          <w:lang w:val="en-IN"/>
        </w:rPr>
      </w:pPr>
    </w:p>
    <w:p w14:paraId="29FF1CC4" w14:textId="77777777" w:rsidR="0066009D" w:rsidRDefault="0066009D" w:rsidP="0066009D">
      <w:pPr>
        <w:rPr>
          <w:lang w:val="en-IN"/>
        </w:rPr>
      </w:pPr>
      <w:r w:rsidRPr="0066009D">
        <w:rPr>
          <w:b/>
          <w:bCs/>
          <w:lang w:val="en-IN"/>
        </w:rPr>
        <w:t xml:space="preserve">Response to Comment 2: </w:t>
      </w:r>
      <w:r w:rsidRPr="0066009D">
        <w:rPr>
          <w:lang w:val="en-IN"/>
        </w:rPr>
        <w:t xml:space="preserve">We thank the reviewer for this valuable suggestion. We have strengthened the Related Works section by incorporating recent multimodal fusion approaches, including </w:t>
      </w:r>
      <w:proofErr w:type="spellStart"/>
      <w:r w:rsidRPr="0066009D">
        <w:rPr>
          <w:lang w:val="en-IN"/>
        </w:rPr>
        <w:t>CMFNet</w:t>
      </w:r>
      <w:proofErr w:type="spellEnd"/>
      <w:r w:rsidRPr="0066009D">
        <w:rPr>
          <w:lang w:val="en-IN"/>
        </w:rPr>
        <w:t>, Cross Mamba Fusion Network, ASVLB-Net, and SCG-</w:t>
      </w:r>
      <w:proofErr w:type="spellStart"/>
      <w:r w:rsidRPr="0066009D">
        <w:rPr>
          <w:lang w:val="en-IN"/>
        </w:rPr>
        <w:t>UNet</w:t>
      </w:r>
      <w:proofErr w:type="spellEnd"/>
      <w:r w:rsidRPr="0066009D">
        <w:rPr>
          <w:lang w:val="en-IN"/>
        </w:rPr>
        <w:t>. Furthermore, we have revised the comparative table to highlight differences in input modalities, fusion strategies, and architectural components. These additions clarify the distinctions between existing multimodal approaches and the proposed M²FA-Net. The corresponding changes are highlighted in red in the revised manuscript.</w:t>
      </w:r>
    </w:p>
    <w:p w14:paraId="299FC482" w14:textId="77777777" w:rsidR="0066009D" w:rsidRDefault="0066009D" w:rsidP="0066009D">
      <w:pPr>
        <w:rPr>
          <w:b/>
          <w:bCs/>
          <w:lang w:val="en-IN"/>
        </w:rPr>
      </w:pPr>
    </w:p>
    <w:p w14:paraId="2EF4CE0F" w14:textId="39DF9209" w:rsidR="00D97780" w:rsidRDefault="00D97780" w:rsidP="0066009D">
      <w:pPr>
        <w:rPr>
          <w:lang w:val="en-IN"/>
        </w:rPr>
      </w:pPr>
      <w:r>
        <w:rPr>
          <w:b/>
          <w:bCs/>
          <w:lang w:val="en-IN"/>
        </w:rPr>
        <w:lastRenderedPageBreak/>
        <w:t xml:space="preserve">Response of Comment 3: </w:t>
      </w:r>
      <w:r>
        <w:rPr>
          <w:lang w:val="en-IN"/>
        </w:rPr>
        <w:t>We thank the reviewer for this valuable suggestion. We agree that the dataset consists of only 734 samples from single source limits the strength of claim about generalization. To our knowledge no larger public dataset exist for the specific task and collecting addition field data required considerable time and resources. We have also added a limitations paragraph to the future scope section stating clearly that the conclusions are valid on a single dataset. As future work we plan to extend evaluation to additional datasets that will make out code available to encourage independent validation by other groups.</w:t>
      </w:r>
    </w:p>
    <w:p w14:paraId="7889880E" w14:textId="3EFF5686" w:rsidR="00D97780" w:rsidRDefault="00D97780" w:rsidP="0066009D">
      <w:pPr>
        <w:rPr>
          <w:lang w:val="en-IN"/>
        </w:rPr>
      </w:pPr>
      <w:r>
        <w:rPr>
          <w:b/>
          <w:bCs/>
          <w:lang w:val="en-IN"/>
        </w:rPr>
        <w:t xml:space="preserve">Response of Comment </w:t>
      </w:r>
      <w:r>
        <w:rPr>
          <w:b/>
          <w:bCs/>
          <w:lang w:val="en-IN"/>
        </w:rPr>
        <w:t>4</w:t>
      </w:r>
      <w:r>
        <w:rPr>
          <w:b/>
          <w:bCs/>
          <w:lang w:val="en-IN"/>
        </w:rPr>
        <w:t>:</w:t>
      </w:r>
      <w:r>
        <w:rPr>
          <w:b/>
          <w:bCs/>
          <w:lang w:val="en-IN"/>
        </w:rPr>
        <w:t xml:space="preserve"> we thank the reviewer, </w:t>
      </w:r>
      <w:proofErr w:type="gramStart"/>
      <w:r>
        <w:rPr>
          <w:b/>
          <w:bCs/>
          <w:lang w:val="en-IN"/>
        </w:rPr>
        <w:t>yes</w:t>
      </w:r>
      <w:proofErr w:type="gramEnd"/>
      <w:r>
        <w:rPr>
          <w:b/>
          <w:bCs/>
          <w:lang w:val="en-IN"/>
        </w:rPr>
        <w:t xml:space="preserve"> all competing models were retrained using the exact same everything, </w:t>
      </w:r>
      <w:r>
        <w:rPr>
          <w:lang w:val="en-IN"/>
        </w:rPr>
        <w:t>mention the table and para which states it.</w:t>
      </w:r>
    </w:p>
    <w:p w14:paraId="7D74CFB3" w14:textId="2E2BFE7B" w:rsidR="00D97780" w:rsidRDefault="00D97780" w:rsidP="0066009D">
      <w:pPr>
        <w:rPr>
          <w:lang w:val="en-IN"/>
        </w:rPr>
      </w:pPr>
      <w:r>
        <w:rPr>
          <w:lang w:val="en-IN"/>
        </w:rPr>
        <w:t>Response of Comment 5: already done above, we can write the same here</w:t>
      </w:r>
    </w:p>
    <w:p w14:paraId="7A4A1605" w14:textId="6A7C3C4F" w:rsidR="0020043A" w:rsidRDefault="0020043A" w:rsidP="0020043A">
      <w:pPr>
        <w:rPr>
          <w:lang w:val="en-IN"/>
        </w:rPr>
      </w:pPr>
      <w:r w:rsidRPr="0020043A">
        <w:rPr>
          <w:b/>
          <w:bCs/>
          <w:lang w:val="en-IN"/>
        </w:rPr>
        <w:t>Response to Comment</w:t>
      </w:r>
      <w:r>
        <w:rPr>
          <w:b/>
          <w:bCs/>
          <w:lang w:val="en-IN"/>
        </w:rPr>
        <w:t xml:space="preserve"> 6</w:t>
      </w:r>
      <w:r w:rsidRPr="0020043A">
        <w:rPr>
          <w:b/>
          <w:bCs/>
          <w:lang w:val="en-IN"/>
        </w:rPr>
        <w:t>:</w:t>
      </w:r>
      <w:r w:rsidRPr="0020043A">
        <w:rPr>
          <w:lang w:val="en-IN"/>
        </w:rPr>
        <w:t xml:space="preserve"> We thank the reviewer for this valuable observation. We have clarified the architectural differences between the Baseline (Early Fusion) and No Multi-Level Fusion configurations in the Ablation Study subsection. Specifically, early fusion combines the input modalities before feature extraction, whereas the No Multi-Level Fusion configuration combines features only at the final encoder stage. The proposed M²FA-Net performs fusion at all four encoder stages. The corresponding clarification has been highlighted in red in the revised manuscript.</w:t>
      </w:r>
    </w:p>
    <w:p w14:paraId="1E6F2616" w14:textId="0378C19D" w:rsidR="0020043A" w:rsidRDefault="0020043A" w:rsidP="0020043A">
      <w:pPr>
        <w:rPr>
          <w:lang w:val="en-IN"/>
        </w:rPr>
      </w:pPr>
      <w:r w:rsidRPr="0020043A">
        <w:rPr>
          <w:b/>
          <w:bCs/>
          <w:lang w:val="en-IN"/>
        </w:rPr>
        <w:t>Response to Comment 7:</w:t>
      </w:r>
      <w:r w:rsidRPr="0020043A">
        <w:rPr>
          <w:lang w:val="en-IN"/>
        </w:rPr>
        <w:t xml:space="preserve"> We thank the reviewer for this valuable suggestion. We acknowledge that M²FA-Net has relatively high computational requirements compared to lightweight segmentation models. The manuscript already provides a comparative analysis of FLOPs, inference speed, and parameter counts in the Computational Complexity Analysis subsection. We have further clarified that the reported 40.22 FPS was achieved on an NVIDIA RTX A5000 GPU and does not directly establish real-time deployment feasibility on UAV or edge devices. We have also explicitly acknowledged this limitation in the </w:t>
      </w:r>
      <w:r w:rsidRPr="0020043A">
        <w:rPr>
          <w:b/>
          <w:bCs/>
          <w:lang w:val="en-IN"/>
        </w:rPr>
        <w:t xml:space="preserve">Limitations </w:t>
      </w:r>
      <w:r>
        <w:rPr>
          <w:b/>
          <w:bCs/>
          <w:lang w:val="en-IN"/>
        </w:rPr>
        <w:t xml:space="preserve">paragraph under conclusion and future scope subsection </w:t>
      </w:r>
      <w:r w:rsidRPr="0020043A">
        <w:rPr>
          <w:lang w:val="en-IN"/>
        </w:rPr>
        <w:t>and moderated the deployment-related claims accordingly. The corresponding changes are highlighted in red in the revised manuscript.</w:t>
      </w:r>
    </w:p>
    <w:p w14:paraId="2BC27F11" w14:textId="77777777" w:rsidR="005E5FE0" w:rsidRDefault="005E5FE0" w:rsidP="0020043A">
      <w:pPr>
        <w:rPr>
          <w:lang w:val="en-IN"/>
        </w:rPr>
      </w:pPr>
    </w:p>
    <w:p w14:paraId="0890BA87" w14:textId="77777777" w:rsidR="005E5FE0" w:rsidRPr="005E5FE0" w:rsidRDefault="005E5FE0" w:rsidP="005E5FE0">
      <w:pPr>
        <w:rPr>
          <w:lang w:val="en-IN"/>
        </w:rPr>
      </w:pPr>
      <w:r w:rsidRPr="005E5FE0">
        <w:rPr>
          <w:b/>
          <w:bCs/>
          <w:lang w:val="en-IN"/>
        </w:rPr>
        <w:t>Response to Comment 8:</w:t>
      </w:r>
      <w:r w:rsidRPr="005E5FE0">
        <w:rPr>
          <w:lang w:val="en-IN"/>
        </w:rPr>
        <w:t xml:space="preserve"> We thank the reviewer for suggesting these references. We have incorporated the relevant studies on lightweight weed identification and </w:t>
      </w:r>
      <w:proofErr w:type="spellStart"/>
      <w:r w:rsidRPr="005E5FE0">
        <w:rPr>
          <w:lang w:val="en-IN"/>
        </w:rPr>
        <w:t>TinyML</w:t>
      </w:r>
      <w:proofErr w:type="spellEnd"/>
      <w:r w:rsidRPr="005E5FE0">
        <w:rPr>
          <w:lang w:val="en-IN"/>
        </w:rPr>
        <w:t>-based edge computing into the CNN-Based Segmentation Approaches subsection. These additions strengthen the discussion of computational efficiency and resource-constrained agricultural applications. The corresponding changes are highlighted in red in the revised manuscript.</w:t>
      </w:r>
    </w:p>
    <w:p w14:paraId="6BF4BF20" w14:textId="77777777" w:rsidR="005E5FE0" w:rsidRPr="0020043A" w:rsidRDefault="005E5FE0" w:rsidP="0020043A">
      <w:pPr>
        <w:rPr>
          <w:lang w:val="en-IN"/>
        </w:rPr>
      </w:pPr>
    </w:p>
    <w:p w14:paraId="39BC5601" w14:textId="77777777" w:rsidR="0020043A" w:rsidRPr="0020043A" w:rsidRDefault="0020043A" w:rsidP="0020043A">
      <w:pPr>
        <w:rPr>
          <w:lang w:val="en-IN"/>
        </w:rPr>
      </w:pPr>
    </w:p>
    <w:p w14:paraId="5697C3DA" w14:textId="7FB0103C" w:rsidR="00D97780" w:rsidRDefault="00D97780" w:rsidP="0066009D">
      <w:pPr>
        <w:rPr>
          <w:lang w:val="en-IN"/>
        </w:rPr>
      </w:pPr>
    </w:p>
    <w:p w14:paraId="7D327CEC" w14:textId="77777777" w:rsidR="00D97780" w:rsidRPr="00D97780" w:rsidRDefault="00D97780" w:rsidP="0066009D">
      <w:pPr>
        <w:rPr>
          <w:lang w:val="en-IN"/>
        </w:rPr>
      </w:pPr>
    </w:p>
    <w:p w14:paraId="3A87D680" w14:textId="77777777" w:rsidR="00EC149A" w:rsidRPr="00EC149A" w:rsidRDefault="00EC149A" w:rsidP="00EC149A"/>
    <w:p w14:paraId="16D6F5DC" w14:textId="77777777" w:rsidR="001A0B1E" w:rsidRDefault="00000000">
      <w:pPr>
        <w:pStyle w:val="Heading2"/>
      </w:pPr>
      <w:r>
        <w:lastRenderedPageBreak/>
        <w:t>Closing</w:t>
      </w:r>
    </w:p>
    <w:p w14:paraId="4FA2BC48" w14:textId="77777777" w:rsidR="001A0B1E" w:rsidRDefault="00000000">
      <w:r>
        <w:t>We thank the editor and the reviewers once again for their valuable feedback. We believe the revisions have substantially strengthened the manuscript, and we hope it is now suitable for publication.</w:t>
      </w:r>
    </w:p>
    <w:p w14:paraId="311DFB50" w14:textId="77777777" w:rsidR="001A0B1E" w:rsidRDefault="00000000">
      <w:pPr>
        <w:pStyle w:val="Heading2"/>
      </w:pPr>
      <w:r>
        <w:t>Internal notes (delete this section before sending)</w:t>
      </w:r>
    </w:p>
    <w:p w14:paraId="663EE7C7" w14:textId="77777777" w:rsidR="001A0B1E" w:rsidRDefault="00000000">
      <w:pPr>
        <w:pStyle w:val="ListParagraph"/>
        <w:numPr>
          <w:ilvl w:val="0"/>
          <w:numId w:val="6"/>
        </w:numPr>
      </w:pPr>
      <w:r>
        <w:rPr>
          <w:b/>
        </w:rPr>
        <w:t>Numbers must agree.</w:t>
      </w:r>
      <w:r>
        <w:t xml:space="preserve"> The modality ablation's full model is 83.81 </w:t>
      </w:r>
      <w:proofErr w:type="spellStart"/>
      <w:r>
        <w:t>IoU</w:t>
      </w:r>
      <w:proofErr w:type="spellEnd"/>
      <w:r>
        <w:t xml:space="preserve"> / 91.19 Dice, but the main results table, Abstract, and Conclusion say 80.79 / 89.21, and the component-ablation table is on that older scale. Make them consistent before sending.</w:t>
      </w:r>
    </w:p>
    <w:p w14:paraId="164EB495" w14:textId="77777777" w:rsidR="001A0B1E" w:rsidRDefault="00000000">
      <w:pPr>
        <w:pStyle w:val="ListParagraph"/>
        <w:numPr>
          <w:ilvl w:val="0"/>
          <w:numId w:val="6"/>
        </w:numPr>
      </w:pPr>
      <w:r>
        <w:rPr>
          <w:b/>
        </w:rPr>
        <w:t>Fill in</w:t>
      </w:r>
      <w:r>
        <w:t xml:space="preserve"> the number of runs [N], what the multispectral stream receives in the RGB-only setting, and the line numbers (the compiled PDF has none; add \</w:t>
      </w:r>
      <w:proofErr w:type="spellStart"/>
      <w:r>
        <w:t>linenumbers</w:t>
      </w:r>
      <w:proofErr w:type="spellEnd"/>
      <w:r>
        <w:t xml:space="preserve"> after \begin{document} and recompile to read them off).</w:t>
      </w:r>
    </w:p>
    <w:p w14:paraId="64727232" w14:textId="77777777" w:rsidR="001A0B1E" w:rsidRDefault="00000000">
      <w:pPr>
        <w:pStyle w:val="ListParagraph"/>
        <w:numPr>
          <w:ilvl w:val="0"/>
          <w:numId w:val="6"/>
        </w:numPr>
      </w:pPr>
      <w:r>
        <w:rPr>
          <w:b/>
        </w:rPr>
        <w:t>Typos to fix in the revised .</w:t>
      </w:r>
      <w:proofErr w:type="spellStart"/>
      <w:r>
        <w:rPr>
          <w:b/>
        </w:rPr>
        <w:t>tex</w:t>
      </w:r>
      <w:proofErr w:type="spellEnd"/>
      <w:r>
        <w:rPr>
          <w:b/>
        </w:rPr>
        <w:t>:</w:t>
      </w:r>
      <w:r>
        <w:t xml:space="preserve"> (1) in Related Works, “Multi-level hierarchical fusion of RGB and Multi-level hierarchical fusion of RGB and multispectral representations” is duplicated; (2) in Input-Modality Ablation, “Fig.~\ref{</w:t>
      </w:r>
      <w:proofErr w:type="spellStart"/>
      <w:proofErr w:type="gramStart"/>
      <w:r>
        <w:t>fig:modality</w:t>
      </w:r>
      <w:proofErr w:type="spellEnd"/>
      <w:proofErr w:type="gramEnd"/>
      <w:r>
        <w:t>} report the outcome” should be “reports”; (3) in the Abstract, “Hyperparameter sensitivity analysis indicate” should be “indicates”; (4) the old TODO comment above the Related Works table can be deleted.</w:t>
      </w:r>
    </w:p>
    <w:p w14:paraId="1593DF9A" w14:textId="77777777" w:rsidR="001A0B1E" w:rsidRDefault="00000000">
      <w:pPr>
        <w:pStyle w:val="ListParagraph"/>
        <w:numPr>
          <w:ilvl w:val="0"/>
          <w:numId w:val="6"/>
        </w:numPr>
      </w:pPr>
      <w:r>
        <w:rPr>
          <w:b/>
        </w:rPr>
        <w:t>The four stages:</w:t>
      </w:r>
      <w:r>
        <w:t xml:space="preserve"> confirm in your code which layers are the four stages and whether the ASPP output counts as one. The original sentence about “proportionally lower spatial resolutions” was kept as written, but later stages of </w:t>
      </w:r>
      <w:proofErr w:type="spellStart"/>
      <w:r>
        <w:t>torchvision's</w:t>
      </w:r>
      <w:proofErr w:type="spellEnd"/>
      <w:r>
        <w:t xml:space="preserve"> DeepLabV3-ResNet50 are dilated, so check it.</w:t>
      </w:r>
    </w:p>
    <w:p w14:paraId="64F5DEF3" w14:textId="77777777" w:rsidR="001A0B1E" w:rsidRDefault="00000000">
      <w:pPr>
        <w:pStyle w:val="ListParagraph"/>
        <w:numPr>
          <w:ilvl w:val="0"/>
          <w:numId w:val="6"/>
        </w:numPr>
      </w:pPr>
      <w:r>
        <w:rPr>
          <w:b/>
        </w:rPr>
        <w:t>Not done:</w:t>
      </w:r>
      <w:r>
        <w:t xml:space="preserve"> a stage-by-stage fusion ablation (your guide's “remove one level” idea), so the four-stage choice is argued only by rationale. Cross-field, cross-season, and external evaluations are also not done, which is why Comment 3 says so.</w:t>
      </w:r>
    </w:p>
    <w:p w14:paraId="4776FF79" w14:textId="77777777" w:rsidR="001A0B1E" w:rsidRDefault="00000000">
      <w:pPr>
        <w:pStyle w:val="ListParagraph"/>
        <w:numPr>
          <w:ilvl w:val="0"/>
          <w:numId w:val="6"/>
        </w:numPr>
      </w:pPr>
      <w:r>
        <w:rPr>
          <w:b/>
        </w:rPr>
        <w:t>Optional:</w:t>
      </w:r>
      <w:r>
        <w:t xml:space="preserve"> an independent preprint (arXiv:2609.05762) audits this dataset's supplied split. Read it before deciding whether to cite it; I have not verified its figures.</w:t>
      </w:r>
    </w:p>
    <w:sectPr w:rsidR="001A0B1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143F3"/>
    <w:multiLevelType w:val="hybridMultilevel"/>
    <w:tmpl w:val="6A8865DE"/>
    <w:lvl w:ilvl="0" w:tplc="96A25768">
      <w:start w:val="1"/>
      <w:numFmt w:val="bullet"/>
      <w:lvlText w:val="•"/>
      <w:lvlJc w:val="left"/>
      <w:pPr>
        <w:ind w:left="720" w:hanging="360"/>
      </w:pPr>
    </w:lvl>
    <w:lvl w:ilvl="1" w:tplc="C240CDE6">
      <w:start w:val="1"/>
      <w:numFmt w:val="bullet"/>
      <w:lvlText w:val="o"/>
      <w:lvlJc w:val="left"/>
      <w:pPr>
        <w:ind w:left="1440" w:hanging="360"/>
      </w:pPr>
    </w:lvl>
    <w:lvl w:ilvl="2" w:tplc="65A252C2">
      <w:start w:val="1"/>
      <w:numFmt w:val="bullet"/>
      <w:lvlText w:val="▪"/>
      <w:lvlJc w:val="left"/>
      <w:pPr>
        <w:ind w:left="2160" w:hanging="360"/>
      </w:pPr>
    </w:lvl>
    <w:lvl w:ilvl="3" w:tplc="621AF1C2">
      <w:start w:val="1"/>
      <w:numFmt w:val="bullet"/>
      <w:lvlText w:val="•"/>
      <w:lvlJc w:val="left"/>
      <w:pPr>
        <w:ind w:left="2880" w:hanging="360"/>
      </w:pPr>
    </w:lvl>
    <w:lvl w:ilvl="4" w:tplc="507AB308">
      <w:start w:val="1"/>
      <w:numFmt w:val="bullet"/>
      <w:lvlText w:val="o"/>
      <w:lvlJc w:val="left"/>
      <w:pPr>
        <w:ind w:left="3600" w:hanging="360"/>
      </w:pPr>
    </w:lvl>
    <w:lvl w:ilvl="5" w:tplc="C8C82B48">
      <w:start w:val="1"/>
      <w:numFmt w:val="bullet"/>
      <w:lvlText w:val="▪"/>
      <w:lvlJc w:val="left"/>
      <w:pPr>
        <w:ind w:left="4320" w:hanging="360"/>
      </w:pPr>
    </w:lvl>
    <w:lvl w:ilvl="6" w:tplc="BA3AFC90">
      <w:start w:val="1"/>
      <w:numFmt w:val="bullet"/>
      <w:lvlText w:val="•"/>
      <w:lvlJc w:val="left"/>
      <w:pPr>
        <w:ind w:left="5040" w:hanging="360"/>
      </w:pPr>
    </w:lvl>
    <w:lvl w:ilvl="7" w:tplc="C186D442">
      <w:start w:val="1"/>
      <w:numFmt w:val="bullet"/>
      <w:lvlText w:val="o"/>
      <w:lvlJc w:val="left"/>
      <w:pPr>
        <w:ind w:left="5760" w:hanging="360"/>
      </w:pPr>
    </w:lvl>
    <w:lvl w:ilvl="8" w:tplc="89A887DC">
      <w:start w:val="1"/>
      <w:numFmt w:val="bullet"/>
      <w:lvlText w:val="▪"/>
      <w:lvlJc w:val="left"/>
      <w:pPr>
        <w:ind w:left="6480" w:hanging="360"/>
      </w:pPr>
    </w:lvl>
  </w:abstractNum>
  <w:abstractNum w:abstractNumId="1" w15:restartNumberingAfterBreak="0">
    <w:nsid w:val="613D19B3"/>
    <w:multiLevelType w:val="hybridMultilevel"/>
    <w:tmpl w:val="3D30AA54"/>
    <w:lvl w:ilvl="0" w:tplc="EE409F7A">
      <w:start w:val="1"/>
      <w:numFmt w:val="decimal"/>
      <w:lvlText w:val="%1."/>
      <w:lvlJc w:val="left"/>
      <w:pPr>
        <w:ind w:left="720" w:hanging="360"/>
      </w:pPr>
    </w:lvl>
    <w:lvl w:ilvl="1" w:tplc="B5029662">
      <w:start w:val="1"/>
      <w:numFmt w:val="lowerLetter"/>
      <w:lvlText w:val="%2."/>
      <w:lvlJc w:val="left"/>
      <w:pPr>
        <w:ind w:left="1440" w:hanging="360"/>
      </w:pPr>
    </w:lvl>
    <w:lvl w:ilvl="2" w:tplc="BC4E8AD2">
      <w:start w:val="1"/>
      <w:numFmt w:val="lowerRoman"/>
      <w:lvlText w:val="%3."/>
      <w:lvlJc w:val="left"/>
      <w:pPr>
        <w:ind w:left="2160" w:hanging="360"/>
      </w:pPr>
    </w:lvl>
    <w:lvl w:ilvl="3" w:tplc="38DA8266">
      <w:start w:val="1"/>
      <w:numFmt w:val="decimal"/>
      <w:lvlText w:val="%4."/>
      <w:lvlJc w:val="left"/>
      <w:pPr>
        <w:ind w:left="2880" w:hanging="360"/>
      </w:pPr>
    </w:lvl>
    <w:lvl w:ilvl="4" w:tplc="EDB28EE2">
      <w:start w:val="1"/>
      <w:numFmt w:val="lowerLetter"/>
      <w:lvlText w:val="%5."/>
      <w:lvlJc w:val="left"/>
      <w:pPr>
        <w:ind w:left="3600" w:hanging="360"/>
      </w:pPr>
    </w:lvl>
    <w:lvl w:ilvl="5" w:tplc="E292A45C">
      <w:start w:val="1"/>
      <w:numFmt w:val="lowerRoman"/>
      <w:lvlText w:val="%6."/>
      <w:lvlJc w:val="left"/>
      <w:pPr>
        <w:ind w:left="4320" w:hanging="360"/>
      </w:pPr>
    </w:lvl>
    <w:lvl w:ilvl="6" w:tplc="03E489B4">
      <w:start w:val="1"/>
      <w:numFmt w:val="decimal"/>
      <w:lvlText w:val="%7."/>
      <w:lvlJc w:val="left"/>
      <w:pPr>
        <w:ind w:left="5040" w:hanging="360"/>
      </w:pPr>
    </w:lvl>
    <w:lvl w:ilvl="7" w:tplc="52445652">
      <w:start w:val="1"/>
      <w:numFmt w:val="lowerLetter"/>
      <w:lvlText w:val="%8."/>
      <w:lvlJc w:val="left"/>
      <w:pPr>
        <w:ind w:left="5760" w:hanging="360"/>
      </w:pPr>
    </w:lvl>
    <w:lvl w:ilvl="8" w:tplc="E33E6E00">
      <w:start w:val="1"/>
      <w:numFmt w:val="lowerRoman"/>
      <w:lvlText w:val="%9."/>
      <w:lvlJc w:val="left"/>
      <w:pPr>
        <w:ind w:left="6480" w:hanging="360"/>
      </w:pPr>
    </w:lvl>
  </w:abstractNum>
  <w:num w:numId="1" w16cid:durableId="1852140187">
    <w:abstractNumId w:val="0"/>
  </w:num>
  <w:num w:numId="2" w16cid:durableId="1769811274">
    <w:abstractNumId w:val="1"/>
    <w:lvlOverride w:ilvl="0">
      <w:startOverride w:val="1"/>
    </w:lvlOverride>
  </w:num>
  <w:num w:numId="3" w16cid:durableId="1624847504">
    <w:abstractNumId w:val="0"/>
  </w:num>
  <w:num w:numId="4" w16cid:durableId="810488762">
    <w:abstractNumId w:val="0"/>
  </w:num>
  <w:num w:numId="5" w16cid:durableId="212936071">
    <w:abstractNumId w:val="0"/>
  </w:num>
  <w:num w:numId="6" w16cid:durableId="20035035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A0B1E"/>
    <w:rsid w:val="00115AAE"/>
    <w:rsid w:val="001A0B1E"/>
    <w:rsid w:val="0020043A"/>
    <w:rsid w:val="0052631F"/>
    <w:rsid w:val="005E5FE0"/>
    <w:rsid w:val="0066009D"/>
    <w:rsid w:val="00672CA7"/>
    <w:rsid w:val="00676E54"/>
    <w:rsid w:val="00D97780"/>
    <w:rsid w:val="00E838ED"/>
    <w:rsid w:val="00EC14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83132"/>
  <w15:docId w15:val="{E1D013BA-9667-49C5-BDB5-D49850A2F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975</TotalTime>
  <Pages>8</Pages>
  <Words>3528</Words>
  <Characters>20113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M²FA-Net Response to Reviewers</vt:lpstr>
    </vt:vector>
  </TitlesOfParts>
  <Company/>
  <LinksUpToDate>false</LinksUpToDate>
  <CharactersWithSpaces>23594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M²FA-Net Response to Reviewers</dc:title>
  <dc:description>Claude Docs node/a8046469-971b@32 docx-w7</dc:description>
  <cp:lastModifiedBy>Manan Dudeja</cp:lastModifiedBy>
  <cp:revision>33</cp:revision>
  <dcterms:created xsi:type="dcterms:W3CDTF">2026-10-18T11:09:00Z</dcterms:created>
  <dcterms:modified xsi:type="dcterms:W3CDTF">2026-10-19T10:23:00Z</dcterms:modified>
</cp:coreProperties>
</file>