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xmlns:w16cid="http://schemas.microsoft.com/office/word/2016/wordml/cid" xmlns:wps="http://schemas.microsoft.com/office/word/2010/wordprocessingShape" xmlns:wp14="http://schemas.microsoft.com/office/word/2010/wordprocessingDrawing" xmlns:v="urn:schemas-microsoft-com:vml" xmlns:o="urn:schemas-microsoft-com:office:office" xmlns:w10="urn:schemas-microsoft-com:office:word" mc:Ignorable="w14 w15 w16cid wp14">
  <w:body>
    <w:p w14:paraId="1A2B028C" w14:textId="77777777">
      <w:pPr>
        <w:pStyle w:val="Title"/>
      </w:pPr>
      <w:r>
        <w:t xml:space="preserve">Layout test document</w:t>
      </w:r>
    </w:p>
    <w:p w14:paraId="1A2B0293" w14:textId="77777777">
      <w:pPr>
        <w:pStyle w:val="Heading1"/>
      </w:pPr>
      <w:r>
        <w:t xml:space="preserve">A table with merged cells and shading</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200"/>
        <w:gridCol w:w="2200"/>
        <w:gridCol w:w="2200"/>
        <w:gridCol w:w="2200"/>
      </w:tblGrid>
      <w:tr>
        <w:trPr>
          <w:tblHeader/>
        </w:trPr>
        <w:tc>
          <w:tcPr>
            <w:tcW w:w="2200" w:type="dxa"/>
            <w:shd w:val="clear" w:color="auto" w:fill="2F5597"/>
          </w:tcPr>
          <w:p w14:paraId="1A2B0215" w14:textId="77777777">
            <w:r>
              <w:rPr>
                <w:color w:val="FFFFFF"/>
                <w:b/>
              </w:rPr>
              <w:t xml:space="preserve">Region</w:t>
            </w:r>
          </w:p>
        </w:tc>
        <w:tc>
          <w:tcPr>
            <w:tcW w:w="2200" w:type="dxa"/>
            <w:shd w:val="clear" w:color="auto" w:fill="2F5597"/>
          </w:tcPr>
          <w:p w14:paraId="1A2B021C" w14:textId="77777777">
            <w:r>
              <w:rPr>
                <w:color w:val="FFFFFF"/>
                <w:b/>
              </w:rPr>
              <w:t xml:space="preserve">Q1</w:t>
            </w:r>
          </w:p>
        </w:tc>
        <w:tc>
          <w:tcPr>
            <w:tcW w:w="2200" w:type="dxa"/>
            <w:shd w:val="clear" w:color="auto" w:fill="2F5597"/>
          </w:tcPr>
          <w:p w14:paraId="1A2B0223" w14:textId="77777777">
            <w:r>
              <w:rPr>
                <w:color w:val="FFFFFF"/>
                <w:b/>
              </w:rPr>
              <w:t xml:space="preserve">Q2</w:t>
            </w:r>
          </w:p>
        </w:tc>
        <w:tc>
          <w:tcPr>
            <w:tcW w:w="2200" w:type="dxa"/>
            <w:shd w:val="clear" w:color="auto" w:fill="2F5597"/>
          </w:tcPr>
          <w:p w14:paraId="1A2B022A" w14:textId="77777777">
            <w:r>
              <w:rPr>
                <w:color w:val="FFFFFF"/>
                <w:b/>
              </w:rPr>
              <w:t xml:space="preserve">Q3</w:t>
            </w:r>
          </w:p>
        </w:tc>
      </w:tr>
      <w:tr>
        <w:tc>
          <w:tcPr>
            <w:tcW w:w="2200" w:type="dxa"/>
            <w:vMerge w:val="restart"/>
            <w:shd w:val="clear" w:color="auto" w:fill="DEEAF6"/>
            <w:vAlign w:val="center"/>
          </w:tcPr>
          <w:p w14:paraId="1A2B0231" w14:textId="77777777">
            <w:r>
              <w:t xml:space="preserve">North (merged down)</w:t>
            </w:r>
          </w:p>
        </w:tc>
        <w:tc>
          <w:tcPr>
            <w:tcW w:w="2200" w:type="dxa"/>
          </w:tcPr>
          <w:p w14:paraId="1A2B0238" w14:textId="77777777">
            <w:r>
              <w:t xml:space="preserve">10</w:t>
            </w:r>
          </w:p>
        </w:tc>
        <w:tc>
          <w:tcPr>
            <w:tcW w:w="2200" w:type="dxa"/>
          </w:tcPr>
          <w:p w14:paraId="1A2B023F" w14:textId="77777777">
            <w:r>
              <w:t xml:space="preserve">12</w:t>
            </w:r>
          </w:p>
        </w:tc>
        <w:tc>
          <w:tcPr>
            <w:tcW w:w="2200" w:type="dxa"/>
          </w:tcPr>
          <w:p w14:paraId="1A2B0246" w14:textId="77777777">
            <w:r>
              <w:t xml:space="preserve">14</w:t>
            </w:r>
          </w:p>
        </w:tc>
      </w:tr>
      <w:tr>
        <w:tc>
          <w:tcPr>
            <w:tcW w:w="2200" w:type="dxa"/>
            <w:vMerge/>
            <w:shd w:val="clear" w:color="auto" w:fill="DEEAF6"/>
          </w:tcPr>
          <w:p w14:paraId="1A2B024D" w14:textId="77777777"/>
        </w:tc>
        <w:tc>
          <w:tcPr>
            <w:tcW w:w="2200" w:type="dxa"/>
          </w:tcPr>
          <w:p w14:paraId="1A2B0254" w14:textId="77777777">
            <w:r>
              <w:t xml:space="preserve">11</w:t>
            </w:r>
          </w:p>
        </w:tc>
        <w:tc>
          <w:tcPr>
            <w:tcW w:w="2200" w:type="dxa"/>
          </w:tcPr>
          <w:p w14:paraId="1A2B025B" w14:textId="77777777">
            <w:r>
              <w:t xml:space="preserve">13</w:t>
            </w:r>
          </w:p>
        </w:tc>
        <w:tc>
          <w:tcPr>
            <w:tcW w:w="2200" w:type="dxa"/>
          </w:tcPr>
          <w:p w14:paraId="1A2B0262" w14:textId="77777777">
            <w:r>
              <w:t xml:space="preserve">15</w:t>
            </w:r>
          </w:p>
        </w:tc>
      </w:tr>
      <w:tr>
        <w:tc>
          <w:tcPr>
            <w:tcW w:w="2200" w:type="dxa"/>
          </w:tcPr>
          <w:p w14:paraId="1A2B0269" w14:textId="77777777">
            <w:r>
              <w:t xml:space="preserve">South</w:t>
            </w:r>
          </w:p>
        </w:tc>
        <w:tc>
          <w:tcPr>
            <w:tcW w:w="4400" w:type="dxa"/>
            <w:gridSpan w:val="2"/>
            <w:shd w:val="clear" w:color="auto" w:fill="E2EFD9"/>
          </w:tcPr>
          <w:p w14:paraId="1A2B0270" w14:textId="77777777">
            <w:r>
              <w:t xml:space="preserve">Q1 and Q2 merged across</w:t>
            </w:r>
          </w:p>
        </w:tc>
        <w:tc>
          <w:tcPr>
            <w:tcW w:w="2200" w:type="dxa"/>
          </w:tcPr>
          <w:p w14:paraId="1A2B0277" w14:textId="77777777">
            <w:r>
              <w:t xml:space="preserve">9</w:t>
            </w:r>
          </w:p>
        </w:tc>
      </w:tr>
      <w:tr>
        <w:tc>
          <w:tcPr>
            <w:tcW w:w="6600" w:type="dxa"/>
            <w:gridSpan w:val="3"/>
            <w:shd w:val="clear" w:color="auto" w:fill="FFF2CC"/>
          </w:tcPr>
          <w:p w14:paraId="1A2B027E" w14:textId="77777777">
            <w:pPr>
              <w:jc w:val="right"/>
            </w:pPr>
            <w:r>
              <w:rPr>
                <w:b/>
              </w:rPr>
              <w:t xml:space="preserve">Total (three columns merged)</w:t>
            </w:r>
          </w:p>
        </w:tc>
        <w:tc>
          <w:tcPr>
            <w:tcW w:w="2200" w:type="dxa"/>
            <w:shd w:val="clear" w:color="auto" w:fill="FFF2CC"/>
          </w:tcPr>
          <w:p w14:paraId="1A2B0285" w14:textId="77777777">
            <w:r>
              <w:rPr>
                <w:b/>
              </w:rPr>
              <w:t xml:space="preserve">75</w:t>
            </w:r>
          </w:p>
        </w:tc>
      </w:tr>
    </w:tbl>
    <w:p w14:paraId="1A2B029A" w14:textId="77777777">
      <w:pPr>
        <w:pStyle w:val="Heading1"/>
      </w:pPr>
      <w:r>
        <w:t xml:space="preserve">An inline picture</w:t>
      </w:r>
    </w:p>
    <w:p w14:paraId="1A2B02A1" w14:textId="77777777">
      <w:r>
        <w:t xml:space="preserve">Before the picture </w:t>
      </w:r>
      <w:r>
        <w:drawing>
          <wp:inline distT="0" distB="0" distL="0" distR="0">
            <wp:extent cx="2286000" cy="1333500"/>
            <wp:effectExtent l="0" t="0" r="0" b="0"/>
            <wp:docPr id="1" name="Gradient"/>
            <wp:cNvGraphicFramePr>
              <a:graphicFrameLocks noChangeAspect="1"/>
            </wp:cNvGraphicFramePr>
            <a:graphic>
              <a:graphicData uri="http://schemas.openxmlformats.org/drawingml/2006/picture">
                <pic:pic>
                  <pic:nvPicPr>
                    <pic:cNvPr id="1" name="Gradient"/>
                    <pic:cNvPicPr/>
                  </pic:nvPicPr>
                  <pic:blipFill>
                    <a:blip r:embed="rIdImg1"/>
                    <a:stretch>
                      <a:fillRect/>
                    </a:stretch>
                  </pic:blipFill>
                  <pic:spPr>
                    <a:xfrm>
                      <a:off x="0" y="0"/>
                      <a:ext cx="2286000" cy="1333500"/>
                    </a:xfrm>
                    <a:prstGeom prst="rect">
                      <a:avLst/>
                    </a:prstGeom>
                  </pic:spPr>
                </pic:pic>
              </a:graphicData>
            </a:graphic>
          </wp:inline>
        </w:drawing>
      </w:r>
      <w:r>
        <w:t xml:space="preserve"> after the picture, on the same line.</w:t>
      </w:r>
    </w:p>
    <w:p w14:paraId="1A2B02A8" w14:textId="77777777">
      <w:pPr>
        <w:pStyle w:val="Heading1"/>
      </w:pPr>
      <w:r>
        <w:t xml:space="preserve">A floating picture</w:t>
      </w:r>
    </w:p>
    <w:p w14:paraId="1A2B02AF" w14:textId="77777777">
      <w:r>
        <w:drawing>
          <wp:anchor distT="0" distB="0" distL="114300" distR="114300" simplePos="0" relativeHeight="251660288" behindDoc="0" locked="0" layoutInCell="1" allowOverlap="1">
            <wp:simplePos x="0" y="0"/>
            <wp:positionH relativeFrom="column">
              <wp:align>right</wp:align>
            </wp:positionH>
            <wp:positionV relativeFrom="paragraph">
              <wp:posOffset>0</wp:posOffset>
            </wp:positionV>
            <wp:extent cx="1333500" cy="1333500"/>
            <wp:effectExtent l="0" t="0" r="0" b="0"/>
            <wp:wrapSquare wrapText="bothSides"/>
            <wp:docPr id="2" name="Rings"/>
            <wp:cNvGraphicFramePr/>
            <a:graphic>
              <a:graphicData uri="http://schemas.openxmlformats.org/drawingml/2006/picture">
                <pic:pic>
                  <pic:nvPicPr>
                    <pic:cNvPr id="2" name="Rings"/>
                    <pic:cNvPicPr/>
                  </pic:nvPicPr>
                  <pic:blipFill>
                    <a:blip r:embed="rIdImg2"/>
                    <a:stretch>
                      <a:fillRect/>
                    </a:stretch>
                  </pic:blipFill>
                  <pic:spPr>
                    <a:xfrm>
                      <a:off x="0" y="0"/>
                      <a:ext cx="1333500" cy="1333500"/>
                    </a:xfrm>
                    <a:prstGeom prst="rect">
                      <a:avLst/>
                    </a:prstGeom>
                  </pic:spPr>
                </pic:pic>
              </a:graphicData>
            </a:graphic>
          </wp:anchor>
        </w:drawing>
      </w:r>
      <w:r>
        <w:t xml:space="preserve">Text flows around the floating picture on the right. The picture is anchored to this paragraph with square wrapping, so a faithful viewer puts it at the right margin and wraps these lines beside it rather than above or below it. Text flows around the floating picture on the right. The picture is anchored to this paragraph with square wrapping, so a faithful viewer puts it at the right margin and wraps these lines beside it rather than above or below it. Text flows around the floating picture on the right. The picture is anchored to this paragraph with square wrapping, so a faithful viewer puts it at the right margin and wraps these lines beside it rather than above or below it. </w:t>
      </w:r>
    </w:p>
    <w:p w14:paraId="1A2B02B6" w14:textId="77777777">
      <w:pPr>
        <w:pStyle w:val="Heading1"/>
      </w:pPr>
      <w:r>
        <w:t xml:space="preserve">A text box</w:t>
      </w:r>
    </w:p>
    <w:p w14:paraId="1A2B02D9" w14:textId="77777777">
      <w:r>
        <mc:AlternateContent>
          <mc:Choice Requires="wps">
            <w:drawing>
              <wp:anchor distT="45720" distB="45720" distL="114300" distR="114300" simplePos="0" relativeHeight="251661312" behindDoc="0" locked="0" layoutInCell="1" allowOverlap="1">
                <wp:simplePos x="0" y="0"/>
                <wp:positionH relativeFrom="column">
                  <wp:align>center</wp:align>
                </wp:positionH>
                <wp:positionV relativeFrom="paragraph">
                  <wp:posOffset>0</wp:posOffset>
                </wp:positionV>
                <wp:extent cx="2794000" cy="889000"/>
                <wp:effectExtent l="0" t="0" r="0" b="0"/>
                <wp:wrapTopAndBottom/>
                <wp:docPr id="3" name="Text Box 3"/>
                <wp:cNvGraphicFramePr/>
                <a:graphic>
                  <a:graphicData uri="http://schemas.microsoft.com/office/word/2010/wordprocessingShape">
                    <wps:wsp>
                      <wps:cNvSpPr txBox="1"/>
                      <wps:spPr>
                        <a:xfrm>
                          <a:off x="0" y="0"/>
                          <a:ext cx="2794000" cy="889000"/>
                        </a:xfrm>
                        <a:prstGeom prst="rect">
                          <a:avLst/>
                        </a:prstGeom>
                        <a:solidFill>
                          <a:srgbClr val="EAF2FB"/>
                        </a:solidFill>
                        <a:ln w="19050">
                          <a:solidFill>
                            <a:srgbClr val="2F5597"/>
                          </a:solidFill>
                        </a:ln>
                      </wps:spPr>
                      <wps:txbx>
                        <w:txbxContent>
                          <w:p w14:paraId="1A2B02BD" w14:textId="77777777">
                            <w:r>
                              <w:rPr>
                                <w:b/>
                              </w:rPr>
                              <w:t xml:space="preserve">Inside a text box</w:t>
                            </w:r>
                          </w:p>
                          <w:p w14:paraId="1A2B02C4" w14:textId="77777777">
                            <w:r>
                              <w:t xml:space="preserve">Blue fill, blue border, centred, wrap top and bottom.</w:t>
                            </w:r>
                          </w:p>
                        </w:txbxContent>
                      </wps:txbx>
                      <wps:bodyPr rot="0" vert="horz" wrap="square" lIns="91440" tIns="45720" rIns="91440" bIns="45720" anchor="t"/>
                    </wps:wsp>
                  </a:graphicData>
                </a:graphic>
              </wp:anchor>
            </w:drawing>
          </mc:Choice>
          <mc:Fallback>
            <w:pict>
              <v:shapetype id="_x0000_t202" coordsize="21600,21600" o:spt="202" path="m,l,21600r21600,l21600,xe">
                <v:stroke joinstyle="miter"/>
                <v:path gradientshapeok="t" o:connecttype="rect"/>
              </v:shapetype>
              <v:shape id="Text Box 3" o:spid="_x0000_s1003" type="#_x0000_t202" style="position:absolute;margin-left:0;margin-top:0;width:220pt;height:70pt;z-index:251661312;mso-position-horizontal:center;mso-position-horizontal-relative:text" fillcolor="#eaf2fb" strokecolor="#2f5597" strokeweight="1.5pt">
                <v:textbox>
                  <w:txbxContent>
                    <w:p w14:paraId="1A2B02CB" w14:textId="77777777">
                      <w:r>
                        <w:rPr>
                          <w:b/>
                        </w:rPr>
                        <w:t xml:space="preserve">Inside a text box</w:t>
                      </w:r>
                    </w:p>
                    <w:p w14:paraId="1A2B02D2" w14:textId="77777777">
                      <w:r>
                        <w:t xml:space="preserve">Blue fill, blue border, centred, wrap top and bottom.</w:t>
                      </w:r>
                    </w:p>
                  </w:txbxContent>
                </v:textbox>
                <w10:wrap type="topAndBottom"/>
              </v:shape>
            </w:pict>
          </mc:Fallback>
        </mc:AlternateContent>
      </w:r>
      <w:r>
        <w:t xml:space="preserve">This paragraph anchors the text box; the box should sit centred above or around it.</w:t>
      </w:r>
    </w:p>
    <w:p w14:paraId="1A2B02E0" w14:textId="77777777">
      <w:pPr>
        <w:sectPr>
          <w:pgSz w:w="12240" w:h="15840"/>
          <w:pgMar w:top="1440" w:right="1440" w:bottom="1440" w:left="1440" w:header="720" w:footer="720" w:gutter="0"/>
          <w:cols w:num="1" w:space="720"/>
          <w:docGrid w:linePitch="360"/>
        </w:sectPr>
      </w:pPr>
      <w:r>
        <w:t xml:space="preserve">Two columns follow.</w:t>
      </w:r>
    </w:p>
    <w:p w14:paraId="1A2B02E7" w14:textId="77777777">
      <w:pPr>
        <w:pStyle w:val="Heading2"/>
      </w:pPr>
      <w:r>
        <w:t xml:space="preserve">Two columns</w:t>
      </w:r>
    </w:p>
    <w:p w14:paraId="1A2B02EE" w14:textId="77777777">
      <w:r>
        <w:t xml:space="preserve">This is the two-column section. The text continues from the bottom of the first column to the top of the second, as in a newsletter. A viewer that ignores w:cols draws it as one wide column. This is the two-column section. The text continues from the bottom of the first column to the top of the second, as in a newsletter. A viewer that ignores w:cols draws it as one wide column. This is the two-column section. The text continues from the bottom of the first column to the top of the second, as in a newsletter. A viewer that ignores w:cols draws it as one wide column. This is the two-column section. The text continues from the bottom of the first column to the top of the second, as in a newsletter. A viewer that ignores w:cols draws it as one wide column. </w:t>
      </w:r>
    </w:p>
    <w:p w14:paraId="1A2B02F5" w14:textId="77777777">
      <w:r>
        <w:t xml:space="preserve">This is the two-column section. The text continues from the bottom of the first column to the top of the second, as in a newsletter. A viewer that ignores w:cols draws it as one wide column. This is the two-column section. The text continues from the bottom of the first column to the top of the second, as in a newsletter. A viewer that ignores w:cols draws it as one wide column. This is the two-column section. The text continues from the bottom of the first column to the top of the second, as in a newsletter. A viewer that ignores w:cols draws it as one wide column. </w:t>
      </w:r>
    </w:p>
    <w:p w14:paraId="1A2B02FC" w14:textId="77777777">
      <w:pPr>
        <w:sectPr>
          <w:type w:val="continuous"/>
          <w:pgSz w:w="12240" w:h="15840"/>
          <w:pgMar w:top="1440" w:right="1440" w:bottom="1440" w:left="1440" w:header="720" w:footer="720" w:gutter="0"/>
          <w:cols w:num="2" w:space="720"/>
          <w:docGrid w:linePitch="360"/>
        </w:sectPr>
      </w:pPr>
      <w:r>
        <w:t xml:space="preserve">End of the two-column section.</w:t>
      </w:r>
    </w:p>
    <w:p w14:paraId="1A2B0303" w14:textId="77777777">
      <w:r>
        <w:t xml:space="preserve">Back to one column after a continuous section break.</w:t>
      </w:r>
    </w:p>
    <w:sectPr>
      <w:type w:val="continuous"/>
      <w:pgSz w:w="12240" w:h="15840"/>
      <w:pgMar w:top="1440" w:right="1440" w:bottom="1440" w:left="1440" w:header="720" w:footer="720" w:gutter="0"/>
      <w:cols w:num="1" w:space="720"/>
      <w:docGrid w:linePitch="36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xmlns:w16cid="http://schemas.microsoft.com/office/word/2016/wordml/cid" xmlns:wps="http://schemas.microsoft.com/office/word/2010/wordprocessingShape" xmlns:wp14="http://schemas.microsoft.com/office/word/2010/wordprocessingDrawing" xmlns:v="urn:schemas-microsoft-com:vml" xmlns:o="urn:schemas-microsoft-com:office:office" xmlns:w10="urn:schemas-microsoft-com:office:word" mc:Ignorable="w14 w15 w16cid wp14">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xmlns:w16cid="http://schemas.microsoft.com/office/word/2016/wordml/cid" xmlns:wps="http://schemas.microsoft.com/office/word/2010/wordprocessingShape" xmlns:wp14="http://schemas.microsoft.com/office/word/2010/wordprocessingDrawing" xmlns:v="urn:schemas-microsoft-com:vml" xmlns:o="urn:schemas-microsoft-com:office:office" xmlns:w10="urn:schemas-microsoft-com:office:word" mc:Ignorable="w14 w15 w16cid wp14">
  <w:defaultTabStop w:val="720"/>
  <w:characterSpacingControl w:val="doNotCompress"/>
  <w:footnotePr>
    <w:footnote w:id="-1"/>
    <w:footnote w:id="0"/>
  </w:footnotePr>
  <w:endnotePr>
    <w:endnote w:id="-1"/>
    <w:endnote w:id="0"/>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xmlns:w16cid="http://schemas.microsoft.com/office/word/2016/wordml/cid" xmlns:wps="http://schemas.microsoft.com/office/word/2010/wordprocessingShape" xmlns:wp14="http://schemas.microsoft.com/office/word/2010/wordprocessingDrawing" xmlns:v="urn:schemas-microsoft-com:vml" xmlns:o="urn:schemas-microsoft-com:office:office" xmlns:w10="urn:schemas-microsoft-com:office:word" mc:Ignorable="w14 w15 w16cid wp14">
  <w:docDefaults>
    <w:rPrDefault>
      <w:rPr>
        <w:rFonts w:ascii="Calibri" w:hAnsi="Calibri" w:eastAsia="Calibri" w:cs="Calibri"/>
        <w:sz w:val="22"/>
        <w:szCs w:val="22"/>
        <w:lang w:val="en-US"/>
      </w:rPr>
    </w:rPrDefault>
    <w:pPrDefault>
      <w:pPr>
        <w:spacing w:after="160" w:line="259" w:lineRule="auto"/>
      </w:pPr>
    </w:pPrDefault>
  </w:docDefaults>
  <w:style w:default="1" w:type="paragraph" w:styleId="Normal">
    <w:name w:val="Normal"/>
    <w:qFormat/>
  </w:style>
  <w:style w:type="paragraph" w:styleId="Title">
    <w:name w:val="Title"/>
    <w:basedOn w:val="Normal"/>
    <w:next w:val="Normal"/>
    <w:qFormat/>
    <w:pPr>
      <w:spacing w:after="80"/>
    </w:pPr>
    <w:rPr>
      <w:rFonts w:ascii="Calibri Light" w:hAnsi="Calibri Light"/>
      <w:spacing w:val="-10"/>
      <w:sz w:val="56"/>
    </w:rPr>
  </w:style>
  <w:style w:type="paragraph" w:styleId="Heading1">
    <w:name w:val="heading 1"/>
    <w:basedOn w:val="Normal"/>
    <w:next w:val="Normal"/>
    <w:qFormat/>
    <w:pPr>
      <w:keepNext/>
      <w:spacing w:before="360" w:after="120"/>
      <w:outlineLvl w:val="0"/>
    </w:pPr>
    <w:rPr>
      <w:b/>
      <w:color w:val="2F5597"/>
      <w:sz w:val="32"/>
    </w:rPr>
  </w:style>
  <w:style w:type="paragraph" w:styleId="Heading2">
    <w:name w:val="heading 2"/>
    <w:basedOn w:val="Normal"/>
    <w:next w:val="Normal"/>
    <w:qFormat/>
    <w:pPr>
      <w:keepNext/>
      <w:spacing w:before="240" w:after="80"/>
      <w:outlineLvl w:val="1"/>
    </w:pPr>
    <w:rPr>
      <w:b/>
      <w:color w:val="2F5597"/>
      <w:sz w:val="26"/>
    </w:rPr>
  </w:style>
  <w:style w:type="paragraph" w:styleId="Heading3">
    <w:name w:val="heading 3"/>
    <w:basedOn w:val="Normal"/>
    <w:next w:val="Normal"/>
    <w:qFormat/>
    <w:pPr>
      <w:keepNext/>
      <w:spacing w:before="160" w:after="40"/>
      <w:outlineLvl w:val="2"/>
    </w:pPr>
    <w:rPr>
      <w:i/>
      <w:color w:val="1F3763"/>
      <w:sz w:val="24"/>
    </w:rPr>
  </w:style>
  <w:style w:type="paragraph" w:styleId="Quote">
    <w:name w:val="Quote"/>
    <w:basedOn w:val="Normal"/>
    <w:pPr>
      <w:ind w:left="864" w:right="864"/>
      <w:jc w:val="center"/>
    </w:pPr>
    <w:rPr>
      <w:i/>
      <w:color w:val="404040"/>
    </w:rPr>
  </w:style>
  <w:style w:type="paragraph" w:styleId="ListParagraph">
    <w:name w:val="List Paragraph"/>
    <w:basedOn w:val="Normal"/>
    <w:pPr>
      <w:ind w:left="720"/>
      <w:contextualSpacing/>
    </w:pPr>
  </w:style>
  <w:style w:type="paragraph" w:styleId="TOCHeading">
    <w:name w:val="TOC Heading"/>
    <w:basedOn w:val="Heading1"/>
    <w:pPr>
      <w:outlineLvl w:val="9"/>
    </w:pPr>
  </w:style>
  <w:style w:type="paragraph" w:styleId="TOC1">
    <w:name w:val="toc 1"/>
    <w:basedOn w:val="Normal"/>
    <w:pPr>
      <w:tabs>
        <w:tab w:val="right" w:leader="dot" w:pos="9350"/>
      </w:tabs>
      <w:spacing w:after="100"/>
    </w:pPr>
  </w:style>
  <w:style w:type="paragraph" w:styleId="TOC2">
    <w:name w:val="toc 2"/>
    <w:basedOn w:val="Normal"/>
    <w:pPr>
      <w:tabs>
        <w:tab w:val="right" w:leader="dot" w:pos="9350"/>
      </w:tabs>
      <w:spacing w:after="100"/>
      <w:ind w:left="220"/>
    </w:pPr>
  </w:style>
  <w:style w:type="paragraph" w:styleId="Header">
    <w:name w:val="header"/>
    <w:basedOn w:val="Normal"/>
    <w:pPr>
      <w:tabs>
        <w:tab w:val="center" w:pos="4680"/>
        <w:tab w:val="right" w:pos="9360"/>
      </w:tabs>
      <w:spacing w:after="0"/>
    </w:pPr>
  </w:style>
  <w:style w:type="paragraph" w:styleId="Footer">
    <w:name w:val="footer"/>
    <w:basedOn w:val="Normal"/>
    <w:pPr>
      <w:tabs>
        <w:tab w:val="center" w:pos="4680"/>
        <w:tab w:val="right" w:pos="9360"/>
      </w:tabs>
      <w:spacing w:after="0"/>
    </w:pPr>
  </w:style>
  <w:style w:type="paragraph" w:styleId="FootnoteText">
    <w:name w:val="footnote text"/>
    <w:basedOn w:val="Normal"/>
    <w:pPr>
      <w:spacing w:after="0"/>
    </w:pPr>
    <w:rPr>
      <w:sz w:val="20"/>
    </w:rPr>
  </w:style>
  <w:style w:type="paragraph" w:styleId="EndnoteText">
    <w:name w:val="endnote text"/>
    <w:basedOn w:val="Normal"/>
    <w:pPr>
      <w:spacing w:after="0"/>
    </w:pPr>
    <w:rPr>
      <w:sz w:val="20"/>
    </w:rPr>
  </w:style>
  <w:style w:type="paragraph" w:styleId="CommentText">
    <w:name w:val="annotation text"/>
    <w:basedOn w:val="Normal"/>
    <w:rPr>
      <w:sz w:val="20"/>
    </w:rPr>
  </w:style>
  <w:style w:type="character" w:styleId="FootnoteReference">
    <w:name w:val="footnote reference"/>
    <w:basedOn w:val="DefaultParagraphFont"/>
    <w:rPr>
      <w:vertAlign w:val="superscript"/>
    </w:rPr>
  </w:style>
  <w:style w:type="character" w:styleId="EndnoteReference">
    <w:name w:val="endnote reference"/>
    <w:basedOn w:val="DefaultParagraphFont"/>
    <w:rPr>
      <w:vertAlign w:val="superscript"/>
    </w:rPr>
  </w:style>
  <w:style w:type="character" w:styleId="CommentReference">
    <w:name w:val="annotation reference"/>
    <w:basedOn w:val="DefaultParagraphFont"/>
    <w:rPr>
      <w:sz w:val="16"/>
    </w:rPr>
  </w:style>
  <w:style w:type="character" w:styleId="Hyperlink">
    <w:name w:val="Hyperlink"/>
    <w:basedOn w:val="DefaultParagraphFont"/>
    <w:rPr>
      <w:color w:val="0563C1"/>
      <w:u w:val="single"/>
    </w:rPr>
  </w:style>
  <w:style w:default="1" w:type="character" w:styleId="DefaultParagraphFont">
    <w:name w:val="Default Paragraph Font"/>
  </w:style>
  <w:style w:type="table" w:styleId="TableGrid">
    <w:name w:val="Table Grid"/>
    <w:pPr>
      <w:spacing w:after="0" w:line="240" w:lineRule="auto"/>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Img1" Type="http://schemas.openxmlformats.org/officeDocument/2006/relationships/image" Target="media/image1.png"/><Relationship Id="rIdImg2" Type="http://schemas.openxmlformats.org/officeDocument/2006/relationships/image" Target="media/image2.png"/></Relationships>
</file>

<file path=docProps/core.xml><?xml version="1.0" encoding="utf-8"?>
<cp:coreProperties xmlns:cp="http://schemas.openxmlformats.org/package/2006/metadata/core-properties" xmlns:dc="http://purl.org/dc/elements/1.1/" xmlns:dcterms="http://purl.org/dc/terms/" xmlns:xsi="http://www.w3.org/2001/XMLSchema-instance">
  <dc:title>Layout test</dc:title>
  <dc:creator>Duo spike</dc:creator>
  <dcterms:created xsi:type="dcterms:W3CDTF">2026-09-01T09:00:00Z</dcterms:created>
</cp:coreProperties>
</file>