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A80D" w14:textId="2ACBAB79" w:rsidR="002173E3" w:rsidRPr="002173E3" w:rsidRDefault="002173E3" w:rsidP="002173E3">
      <w:pPr>
        <w:jc w:val="center"/>
        <w:rPr>
          <w:b/>
          <w:color w:val="002060"/>
          <w:sz w:val="28"/>
          <w:u w:val="single"/>
        </w:rPr>
      </w:pPr>
      <w:r w:rsidRPr="002173E3">
        <w:rPr>
          <w:b/>
          <w:color w:val="002060"/>
          <w:sz w:val="28"/>
          <w:u w:val="single"/>
        </w:rPr>
        <w:t>Additional Notes to help you fill in the Term Sheet</w:t>
      </w:r>
    </w:p>
    <w:p w14:paraId="208AE546" w14:textId="77777777" w:rsidR="002173E3" w:rsidRDefault="002173E3">
      <w:pPr>
        <w:rPr>
          <w:b/>
          <w:color w:val="002060"/>
          <w:sz w:val="24"/>
        </w:rPr>
      </w:pPr>
    </w:p>
    <w:p w14:paraId="67395846" w14:textId="10CFF877" w:rsidR="002173E3" w:rsidRPr="002173E3" w:rsidRDefault="002173E3">
      <w:pPr>
        <w:rPr>
          <w:b/>
          <w:color w:val="002060"/>
          <w:sz w:val="24"/>
        </w:rPr>
      </w:pPr>
      <w:r w:rsidRPr="002173E3">
        <w:rPr>
          <w:b/>
          <w:color w:val="002060"/>
          <w:sz w:val="24"/>
        </w:rPr>
        <w:t>What is the Anti-Dilution clause?</w:t>
      </w:r>
    </w:p>
    <w:p w14:paraId="55A1D787" w14:textId="77777777" w:rsidR="002173E3" w:rsidRPr="002173E3" w:rsidRDefault="002173E3" w:rsidP="002173E3">
      <w:pPr>
        <w:rPr>
          <w:color w:val="002060"/>
        </w:rPr>
      </w:pPr>
      <w:r w:rsidRPr="002173E3">
        <w:rPr>
          <w:color w:val="002060"/>
        </w:rPr>
        <w:t xml:space="preserve">This clause ensures that the Investor is not adversely affected if money is subsequently raised at a discount to the price paid by the Investor for their shares. </w:t>
      </w:r>
    </w:p>
    <w:p w14:paraId="3CD64576" w14:textId="77777777" w:rsidR="002173E3" w:rsidRPr="002173E3" w:rsidRDefault="002173E3" w:rsidP="002173E3">
      <w:pPr>
        <w:rPr>
          <w:color w:val="002060"/>
        </w:rPr>
      </w:pPr>
      <w:r w:rsidRPr="002173E3">
        <w:rPr>
          <w:color w:val="002060"/>
        </w:rPr>
        <w:t xml:space="preserve">The broad based weighted average anti-dilution adjustment is the most common approach to anti-dilution protection and calculates the conversion rate/price considering the price and the amount of money previously raised as well as the price and amount of money being raised in the subsequent dilutive financing. </w:t>
      </w:r>
    </w:p>
    <w:p w14:paraId="76653A1C" w14:textId="401EE820" w:rsidR="002173E3" w:rsidRPr="002173E3" w:rsidRDefault="002173E3" w:rsidP="002173E3">
      <w:pPr>
        <w:rPr>
          <w:color w:val="002060"/>
        </w:rPr>
      </w:pPr>
      <w:r w:rsidRPr="002173E3">
        <w:rPr>
          <w:color w:val="002060"/>
        </w:rPr>
        <w:t>However, in some circumstances it may be appropriate to have what is known as a "full price ratchet" – the effect of which is re-pricing the original investment to the same price paid per share in the down/discount round.</w:t>
      </w:r>
    </w:p>
    <w:p w14:paraId="7CBBE13F" w14:textId="4EBD34FB" w:rsidR="002173E3" w:rsidRPr="002173E3" w:rsidRDefault="002173E3" w:rsidP="002173E3">
      <w:pPr>
        <w:rPr>
          <w:color w:val="002060"/>
        </w:rPr>
      </w:pPr>
    </w:p>
    <w:p w14:paraId="4BA66E34" w14:textId="5B9AC854" w:rsidR="002173E3" w:rsidRPr="002173E3" w:rsidRDefault="002173E3" w:rsidP="002173E3">
      <w:pPr>
        <w:rPr>
          <w:b/>
          <w:color w:val="002060"/>
          <w:sz w:val="24"/>
        </w:rPr>
      </w:pPr>
      <w:r w:rsidRPr="002173E3">
        <w:rPr>
          <w:b/>
          <w:color w:val="002060"/>
          <w:sz w:val="24"/>
        </w:rPr>
        <w:t>How to fill in the clause “Liquidation preferences”?</w:t>
      </w:r>
    </w:p>
    <w:p w14:paraId="5FD09E4A" w14:textId="77777777" w:rsidR="002173E3" w:rsidRPr="002173E3" w:rsidRDefault="002173E3" w:rsidP="002173E3">
      <w:pPr>
        <w:rPr>
          <w:color w:val="002060"/>
        </w:rPr>
      </w:pPr>
      <w:r w:rsidRPr="002173E3">
        <w:rPr>
          <w:color w:val="002060"/>
        </w:rPr>
        <w:t>A liquidation preference serves two purposes (</w:t>
      </w:r>
      <w:proofErr w:type="spellStart"/>
      <w:r w:rsidRPr="002173E3">
        <w:rPr>
          <w:color w:val="002060"/>
        </w:rPr>
        <w:t>i</w:t>
      </w:r>
      <w:proofErr w:type="spellEnd"/>
      <w:r w:rsidRPr="002173E3">
        <w:rPr>
          <w:color w:val="002060"/>
        </w:rPr>
        <w:t xml:space="preserve">) it gives an Investor a “first right” to any cash available to shareholders in the event of a liquidation or “deemed liquidation” of the Company and (ii) sets out the priority of payments in such an event. The liquidation preference is payable, not only on a liquidation or winding up of the Company, but also on certain other “deemed liquidation” events, such as an acquisition of the Company or the sale of all or substantially all of its assets. </w:t>
      </w:r>
    </w:p>
    <w:p w14:paraId="5C042338" w14:textId="3531A8E1" w:rsidR="002173E3" w:rsidRPr="002173E3" w:rsidRDefault="002173E3" w:rsidP="002173E3">
      <w:pPr>
        <w:rPr>
          <w:color w:val="002060"/>
        </w:rPr>
      </w:pPr>
      <w:r w:rsidRPr="002173E3">
        <w:rPr>
          <w:color w:val="002060"/>
        </w:rPr>
        <w:t>You should also note that some Investors, will also require the liquidation preference to “pay-out” (usually by the further issue of shares) on an IPO. This should be resisted if it appears in the term sheet or in the definitive legal documents. The amount of the liquidation preference is a function of risk. Typically, the amount of the liquidation preference is the amount invested by the Investor. For example, if the preferred shares were issued for $3.00 per share, a holder of one preferred share will receive $3.00 per share prior to any payments to the ordinary shareholders (a “x1 preference”). If the valuation is considered too high or the Company is inherently risky a higher multiple may be used.</w:t>
      </w:r>
    </w:p>
    <w:p w14:paraId="4D2887AB" w14:textId="26E99359" w:rsidR="002173E3" w:rsidRPr="002173E3" w:rsidRDefault="002173E3" w:rsidP="002173E3">
      <w:pPr>
        <w:rPr>
          <w:color w:val="002060"/>
        </w:rPr>
      </w:pPr>
    </w:p>
    <w:p w14:paraId="69C68A35" w14:textId="7223D2E0" w:rsidR="002173E3" w:rsidRPr="002173E3" w:rsidRDefault="002173E3" w:rsidP="002173E3">
      <w:pPr>
        <w:rPr>
          <w:b/>
          <w:color w:val="002060"/>
          <w:sz w:val="24"/>
        </w:rPr>
      </w:pPr>
      <w:r w:rsidRPr="002173E3">
        <w:rPr>
          <w:b/>
          <w:color w:val="002060"/>
          <w:sz w:val="24"/>
        </w:rPr>
        <w:t>What does having “pre-emptive rights on issue and transfer of shares” mean?</w:t>
      </w:r>
    </w:p>
    <w:p w14:paraId="635DD189" w14:textId="362AC11F" w:rsidR="002173E3" w:rsidRPr="002173E3" w:rsidRDefault="002173E3" w:rsidP="002173E3">
      <w:pPr>
        <w:rPr>
          <w:color w:val="002060"/>
        </w:rPr>
      </w:pPr>
      <w:r w:rsidRPr="002173E3">
        <w:rPr>
          <w:color w:val="002060"/>
        </w:rPr>
        <w:t>This means that existing shareholders will get the first opportunity to buy any shares that the Company issues or that a shareholder sells.</w:t>
      </w:r>
    </w:p>
    <w:p w14:paraId="213F834D" w14:textId="49A2EFC0" w:rsidR="002173E3" w:rsidRDefault="002173E3">
      <w:pPr>
        <w:rPr>
          <w:color w:val="002060"/>
        </w:rPr>
      </w:pPr>
      <w:r>
        <w:rPr>
          <w:color w:val="002060"/>
        </w:rPr>
        <w:br w:type="page"/>
      </w:r>
    </w:p>
    <w:p w14:paraId="4B60657A" w14:textId="35FE1EC4" w:rsidR="002173E3" w:rsidRPr="002173E3" w:rsidRDefault="002173E3" w:rsidP="002173E3">
      <w:pPr>
        <w:rPr>
          <w:b/>
          <w:color w:val="002060"/>
          <w:sz w:val="24"/>
        </w:rPr>
      </w:pPr>
      <w:r w:rsidRPr="002173E3">
        <w:rPr>
          <w:b/>
          <w:color w:val="002060"/>
          <w:sz w:val="24"/>
        </w:rPr>
        <w:lastRenderedPageBreak/>
        <w:t>Other key Term Sheet clauses with explanations</w:t>
      </w:r>
    </w:p>
    <w:p w14:paraId="70EF214A" w14:textId="1A35294D" w:rsidR="002173E3" w:rsidRPr="002173E3" w:rsidRDefault="002173E3" w:rsidP="002173E3">
      <w:pPr>
        <w:rPr>
          <w:color w:val="002060"/>
        </w:rPr>
      </w:pPr>
      <w:r w:rsidRPr="002173E3">
        <w:rPr>
          <w:noProof/>
          <w:color w:val="002060"/>
        </w:rPr>
        <w:drawing>
          <wp:inline distT="0" distB="0" distL="0" distR="0" wp14:anchorId="57F4743B" wp14:editId="604A3737">
            <wp:extent cx="6086475" cy="40913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9220" cy="4093206"/>
                    </a:xfrm>
                    <a:prstGeom prst="rect">
                      <a:avLst/>
                    </a:prstGeom>
                    <a:noFill/>
                  </pic:spPr>
                </pic:pic>
              </a:graphicData>
            </a:graphic>
          </wp:inline>
        </w:drawing>
      </w:r>
    </w:p>
    <w:p w14:paraId="047E2D2B" w14:textId="6B2BFD94" w:rsidR="002173E3" w:rsidRPr="002173E3" w:rsidRDefault="002173E3" w:rsidP="002173E3">
      <w:pPr>
        <w:rPr>
          <w:color w:val="002060"/>
        </w:rPr>
      </w:pPr>
      <w:bookmarkStart w:id="0" w:name="_GoBack"/>
      <w:r w:rsidRPr="002173E3">
        <w:rPr>
          <w:noProof/>
          <w:color w:val="002060"/>
        </w:rPr>
        <w:drawing>
          <wp:inline distT="0" distB="0" distL="0" distR="0" wp14:anchorId="62782B90" wp14:editId="03405870">
            <wp:extent cx="6060029" cy="3662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428" cy="3664417"/>
                    </a:xfrm>
                    <a:prstGeom prst="rect">
                      <a:avLst/>
                    </a:prstGeom>
                    <a:noFill/>
                  </pic:spPr>
                </pic:pic>
              </a:graphicData>
            </a:graphic>
          </wp:inline>
        </w:drawing>
      </w:r>
      <w:bookmarkEnd w:id="0"/>
    </w:p>
    <w:sectPr w:rsidR="002173E3" w:rsidRPr="0021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E3"/>
    <w:rsid w:val="00001E07"/>
    <w:rsid w:val="0000250C"/>
    <w:rsid w:val="00004D40"/>
    <w:rsid w:val="0001030C"/>
    <w:rsid w:val="000108EF"/>
    <w:rsid w:val="0001571B"/>
    <w:rsid w:val="000168DA"/>
    <w:rsid w:val="0002593A"/>
    <w:rsid w:val="00025A4F"/>
    <w:rsid w:val="000336D1"/>
    <w:rsid w:val="0004458A"/>
    <w:rsid w:val="00052461"/>
    <w:rsid w:val="00061B0C"/>
    <w:rsid w:val="000623BD"/>
    <w:rsid w:val="0006542C"/>
    <w:rsid w:val="00077C1C"/>
    <w:rsid w:val="00081C8E"/>
    <w:rsid w:val="00081F1E"/>
    <w:rsid w:val="000830A7"/>
    <w:rsid w:val="00086497"/>
    <w:rsid w:val="0008735F"/>
    <w:rsid w:val="000A48F2"/>
    <w:rsid w:val="000A54A5"/>
    <w:rsid w:val="000B16B4"/>
    <w:rsid w:val="000B2FDF"/>
    <w:rsid w:val="000B3915"/>
    <w:rsid w:val="000C3AB3"/>
    <w:rsid w:val="000C55FE"/>
    <w:rsid w:val="000C6E44"/>
    <w:rsid w:val="000D1AAA"/>
    <w:rsid w:val="000D2A96"/>
    <w:rsid w:val="000D695B"/>
    <w:rsid w:val="000E2D3F"/>
    <w:rsid w:val="000E4E75"/>
    <w:rsid w:val="000E7642"/>
    <w:rsid w:val="000F230C"/>
    <w:rsid w:val="000F56BF"/>
    <w:rsid w:val="000F6218"/>
    <w:rsid w:val="0010200B"/>
    <w:rsid w:val="001050E9"/>
    <w:rsid w:val="00111128"/>
    <w:rsid w:val="00111B9E"/>
    <w:rsid w:val="001169A9"/>
    <w:rsid w:val="0012189B"/>
    <w:rsid w:val="00122D1A"/>
    <w:rsid w:val="00132698"/>
    <w:rsid w:val="00136FA8"/>
    <w:rsid w:val="00137BD2"/>
    <w:rsid w:val="00137EC7"/>
    <w:rsid w:val="00146B19"/>
    <w:rsid w:val="00153718"/>
    <w:rsid w:val="001701E9"/>
    <w:rsid w:val="00175173"/>
    <w:rsid w:val="001757E8"/>
    <w:rsid w:val="0019749A"/>
    <w:rsid w:val="00197F8C"/>
    <w:rsid w:val="001C6D66"/>
    <w:rsid w:val="001D1ADF"/>
    <w:rsid w:val="001D7E68"/>
    <w:rsid w:val="001E044E"/>
    <w:rsid w:val="001E5A30"/>
    <w:rsid w:val="001F2F36"/>
    <w:rsid w:val="00211AE3"/>
    <w:rsid w:val="002173E3"/>
    <w:rsid w:val="00227540"/>
    <w:rsid w:val="00236ED0"/>
    <w:rsid w:val="002415B6"/>
    <w:rsid w:val="00244DC6"/>
    <w:rsid w:val="002518CA"/>
    <w:rsid w:val="00253E35"/>
    <w:rsid w:val="00254AD2"/>
    <w:rsid w:val="002554E0"/>
    <w:rsid w:val="00255A6E"/>
    <w:rsid w:val="00256F0C"/>
    <w:rsid w:val="0026697F"/>
    <w:rsid w:val="00291E7E"/>
    <w:rsid w:val="002944A0"/>
    <w:rsid w:val="00295894"/>
    <w:rsid w:val="00295BF2"/>
    <w:rsid w:val="002A1274"/>
    <w:rsid w:val="002A1EF4"/>
    <w:rsid w:val="002A455A"/>
    <w:rsid w:val="002B7A9A"/>
    <w:rsid w:val="002C7B80"/>
    <w:rsid w:val="002D18D7"/>
    <w:rsid w:val="002D2F54"/>
    <w:rsid w:val="002E738C"/>
    <w:rsid w:val="002F4853"/>
    <w:rsid w:val="002F4DD1"/>
    <w:rsid w:val="00310379"/>
    <w:rsid w:val="003137CA"/>
    <w:rsid w:val="00316419"/>
    <w:rsid w:val="0031673C"/>
    <w:rsid w:val="00331778"/>
    <w:rsid w:val="00334204"/>
    <w:rsid w:val="00337296"/>
    <w:rsid w:val="00342335"/>
    <w:rsid w:val="00342364"/>
    <w:rsid w:val="00363148"/>
    <w:rsid w:val="00365856"/>
    <w:rsid w:val="003728F1"/>
    <w:rsid w:val="0037290C"/>
    <w:rsid w:val="00383FD1"/>
    <w:rsid w:val="00391B74"/>
    <w:rsid w:val="00396910"/>
    <w:rsid w:val="003A4965"/>
    <w:rsid w:val="003A72CB"/>
    <w:rsid w:val="003B71E0"/>
    <w:rsid w:val="003C067E"/>
    <w:rsid w:val="003C0F4F"/>
    <w:rsid w:val="003D0EFA"/>
    <w:rsid w:val="003D170C"/>
    <w:rsid w:val="003D43EB"/>
    <w:rsid w:val="003D5D01"/>
    <w:rsid w:val="00402E21"/>
    <w:rsid w:val="00404BB2"/>
    <w:rsid w:val="00413D95"/>
    <w:rsid w:val="00416C08"/>
    <w:rsid w:val="004229A5"/>
    <w:rsid w:val="00425D53"/>
    <w:rsid w:val="004273FB"/>
    <w:rsid w:val="004312B3"/>
    <w:rsid w:val="004339BD"/>
    <w:rsid w:val="00436973"/>
    <w:rsid w:val="0044730A"/>
    <w:rsid w:val="00455527"/>
    <w:rsid w:val="00477093"/>
    <w:rsid w:val="00480E35"/>
    <w:rsid w:val="00484289"/>
    <w:rsid w:val="00484E5B"/>
    <w:rsid w:val="00486629"/>
    <w:rsid w:val="00494157"/>
    <w:rsid w:val="0049592B"/>
    <w:rsid w:val="004A2BCA"/>
    <w:rsid w:val="004A3F59"/>
    <w:rsid w:val="004A7500"/>
    <w:rsid w:val="004B0732"/>
    <w:rsid w:val="004B421E"/>
    <w:rsid w:val="004B6536"/>
    <w:rsid w:val="004C57BB"/>
    <w:rsid w:val="004C629C"/>
    <w:rsid w:val="004C6CF2"/>
    <w:rsid w:val="004C7AE3"/>
    <w:rsid w:val="004E1FEF"/>
    <w:rsid w:val="004E3AD3"/>
    <w:rsid w:val="004E3C17"/>
    <w:rsid w:val="004E3DEE"/>
    <w:rsid w:val="004F3E39"/>
    <w:rsid w:val="00502498"/>
    <w:rsid w:val="005049C7"/>
    <w:rsid w:val="00506F13"/>
    <w:rsid w:val="0051017F"/>
    <w:rsid w:val="00512ECA"/>
    <w:rsid w:val="0052390D"/>
    <w:rsid w:val="005277C0"/>
    <w:rsid w:val="00535586"/>
    <w:rsid w:val="00540944"/>
    <w:rsid w:val="00541B0D"/>
    <w:rsid w:val="00545CCC"/>
    <w:rsid w:val="00545F83"/>
    <w:rsid w:val="00553070"/>
    <w:rsid w:val="005731C2"/>
    <w:rsid w:val="00574456"/>
    <w:rsid w:val="00583549"/>
    <w:rsid w:val="00584D8D"/>
    <w:rsid w:val="0059194E"/>
    <w:rsid w:val="0059409F"/>
    <w:rsid w:val="005A2024"/>
    <w:rsid w:val="005A49D3"/>
    <w:rsid w:val="005B1D1A"/>
    <w:rsid w:val="005B37B3"/>
    <w:rsid w:val="005B4E90"/>
    <w:rsid w:val="005C391B"/>
    <w:rsid w:val="005C3C15"/>
    <w:rsid w:val="005D05E6"/>
    <w:rsid w:val="00600EA4"/>
    <w:rsid w:val="00600F01"/>
    <w:rsid w:val="0060225F"/>
    <w:rsid w:val="00615D39"/>
    <w:rsid w:val="00621BE2"/>
    <w:rsid w:val="00635CEB"/>
    <w:rsid w:val="00650651"/>
    <w:rsid w:val="00650D33"/>
    <w:rsid w:val="00652EF0"/>
    <w:rsid w:val="00662437"/>
    <w:rsid w:val="00663C7C"/>
    <w:rsid w:val="0066609D"/>
    <w:rsid w:val="00666BC5"/>
    <w:rsid w:val="006742F5"/>
    <w:rsid w:val="00675FC3"/>
    <w:rsid w:val="0067640D"/>
    <w:rsid w:val="00684ECC"/>
    <w:rsid w:val="006925B9"/>
    <w:rsid w:val="00692888"/>
    <w:rsid w:val="006973B1"/>
    <w:rsid w:val="006B3FA2"/>
    <w:rsid w:val="006C02D7"/>
    <w:rsid w:val="006D54E7"/>
    <w:rsid w:val="006E7D9E"/>
    <w:rsid w:val="006F23D8"/>
    <w:rsid w:val="006F52E2"/>
    <w:rsid w:val="006F6172"/>
    <w:rsid w:val="00700320"/>
    <w:rsid w:val="00700D83"/>
    <w:rsid w:val="00714C0E"/>
    <w:rsid w:val="007165B4"/>
    <w:rsid w:val="007202EF"/>
    <w:rsid w:val="00723AF5"/>
    <w:rsid w:val="00726FA2"/>
    <w:rsid w:val="0074608A"/>
    <w:rsid w:val="0074688B"/>
    <w:rsid w:val="0075145B"/>
    <w:rsid w:val="007548F2"/>
    <w:rsid w:val="007569BF"/>
    <w:rsid w:val="00756D51"/>
    <w:rsid w:val="007610A6"/>
    <w:rsid w:val="00762075"/>
    <w:rsid w:val="00762A75"/>
    <w:rsid w:val="00762B17"/>
    <w:rsid w:val="0076613E"/>
    <w:rsid w:val="007705DD"/>
    <w:rsid w:val="007717EB"/>
    <w:rsid w:val="00775C4F"/>
    <w:rsid w:val="00785CBB"/>
    <w:rsid w:val="007951E7"/>
    <w:rsid w:val="00797ADD"/>
    <w:rsid w:val="007A2A29"/>
    <w:rsid w:val="007B1FBF"/>
    <w:rsid w:val="007B7524"/>
    <w:rsid w:val="007D0236"/>
    <w:rsid w:val="007D3BB9"/>
    <w:rsid w:val="007D5F57"/>
    <w:rsid w:val="007E422B"/>
    <w:rsid w:val="007F23DA"/>
    <w:rsid w:val="007F28A5"/>
    <w:rsid w:val="0080045F"/>
    <w:rsid w:val="00815A8F"/>
    <w:rsid w:val="0083752E"/>
    <w:rsid w:val="008523E8"/>
    <w:rsid w:val="00854929"/>
    <w:rsid w:val="00855A4E"/>
    <w:rsid w:val="00856E59"/>
    <w:rsid w:val="00860B43"/>
    <w:rsid w:val="00862B98"/>
    <w:rsid w:val="0086710D"/>
    <w:rsid w:val="00867352"/>
    <w:rsid w:val="008679C9"/>
    <w:rsid w:val="0087603A"/>
    <w:rsid w:val="00876BF8"/>
    <w:rsid w:val="00884ABA"/>
    <w:rsid w:val="008A1802"/>
    <w:rsid w:val="008A394B"/>
    <w:rsid w:val="008A554C"/>
    <w:rsid w:val="008A7239"/>
    <w:rsid w:val="008B3468"/>
    <w:rsid w:val="008B64F1"/>
    <w:rsid w:val="008C31C4"/>
    <w:rsid w:val="008D0058"/>
    <w:rsid w:val="008D04FD"/>
    <w:rsid w:val="008D0E74"/>
    <w:rsid w:val="008D1DA0"/>
    <w:rsid w:val="008D4442"/>
    <w:rsid w:val="008E2463"/>
    <w:rsid w:val="008E323E"/>
    <w:rsid w:val="008E6C79"/>
    <w:rsid w:val="008F099A"/>
    <w:rsid w:val="008F322D"/>
    <w:rsid w:val="009077AE"/>
    <w:rsid w:val="00907F19"/>
    <w:rsid w:val="009171FD"/>
    <w:rsid w:val="00917DF1"/>
    <w:rsid w:val="00930D8A"/>
    <w:rsid w:val="009334FB"/>
    <w:rsid w:val="00945FE3"/>
    <w:rsid w:val="00946E7F"/>
    <w:rsid w:val="00952E36"/>
    <w:rsid w:val="00953E3E"/>
    <w:rsid w:val="00963346"/>
    <w:rsid w:val="009643DE"/>
    <w:rsid w:val="0097143B"/>
    <w:rsid w:val="00972211"/>
    <w:rsid w:val="0097414A"/>
    <w:rsid w:val="00983344"/>
    <w:rsid w:val="00983B5C"/>
    <w:rsid w:val="009900A6"/>
    <w:rsid w:val="009918ED"/>
    <w:rsid w:val="009952DE"/>
    <w:rsid w:val="00996A36"/>
    <w:rsid w:val="009B53A3"/>
    <w:rsid w:val="009B7A78"/>
    <w:rsid w:val="009C0349"/>
    <w:rsid w:val="009C0715"/>
    <w:rsid w:val="009C106D"/>
    <w:rsid w:val="009C2F69"/>
    <w:rsid w:val="009C31FE"/>
    <w:rsid w:val="009C78C7"/>
    <w:rsid w:val="009D1D7F"/>
    <w:rsid w:val="009F0F72"/>
    <w:rsid w:val="009F141A"/>
    <w:rsid w:val="009F455D"/>
    <w:rsid w:val="00A003C8"/>
    <w:rsid w:val="00A00CB9"/>
    <w:rsid w:val="00A01144"/>
    <w:rsid w:val="00A13347"/>
    <w:rsid w:val="00A142C5"/>
    <w:rsid w:val="00A1577B"/>
    <w:rsid w:val="00A20028"/>
    <w:rsid w:val="00A2017A"/>
    <w:rsid w:val="00A27BCE"/>
    <w:rsid w:val="00A367C7"/>
    <w:rsid w:val="00A37A0F"/>
    <w:rsid w:val="00A56333"/>
    <w:rsid w:val="00A65C6B"/>
    <w:rsid w:val="00A7071C"/>
    <w:rsid w:val="00A70E8F"/>
    <w:rsid w:val="00A72A6D"/>
    <w:rsid w:val="00A7415B"/>
    <w:rsid w:val="00A839BA"/>
    <w:rsid w:val="00A85B9A"/>
    <w:rsid w:val="00A90F15"/>
    <w:rsid w:val="00A96572"/>
    <w:rsid w:val="00AA1132"/>
    <w:rsid w:val="00AA3F09"/>
    <w:rsid w:val="00AB3BA5"/>
    <w:rsid w:val="00AD014F"/>
    <w:rsid w:val="00AD0E05"/>
    <w:rsid w:val="00AD13E2"/>
    <w:rsid w:val="00AD3256"/>
    <w:rsid w:val="00AE1125"/>
    <w:rsid w:val="00AE1FCA"/>
    <w:rsid w:val="00AE2F6F"/>
    <w:rsid w:val="00AE4D9E"/>
    <w:rsid w:val="00AE5961"/>
    <w:rsid w:val="00AE5E84"/>
    <w:rsid w:val="00AF0D46"/>
    <w:rsid w:val="00B10E2B"/>
    <w:rsid w:val="00B163EE"/>
    <w:rsid w:val="00B16594"/>
    <w:rsid w:val="00B2191D"/>
    <w:rsid w:val="00B229EA"/>
    <w:rsid w:val="00B24876"/>
    <w:rsid w:val="00B33A33"/>
    <w:rsid w:val="00B45035"/>
    <w:rsid w:val="00B50DD8"/>
    <w:rsid w:val="00B550F2"/>
    <w:rsid w:val="00B676F0"/>
    <w:rsid w:val="00B71CC9"/>
    <w:rsid w:val="00B836B0"/>
    <w:rsid w:val="00B87C19"/>
    <w:rsid w:val="00B87DE1"/>
    <w:rsid w:val="00B915F6"/>
    <w:rsid w:val="00B967F0"/>
    <w:rsid w:val="00B96D26"/>
    <w:rsid w:val="00B9783C"/>
    <w:rsid w:val="00BA12E9"/>
    <w:rsid w:val="00BA2DEE"/>
    <w:rsid w:val="00BA4159"/>
    <w:rsid w:val="00BA4AA9"/>
    <w:rsid w:val="00BA58EF"/>
    <w:rsid w:val="00BB015B"/>
    <w:rsid w:val="00BB3099"/>
    <w:rsid w:val="00BC175A"/>
    <w:rsid w:val="00BC4D5E"/>
    <w:rsid w:val="00BC5BC1"/>
    <w:rsid w:val="00BD0486"/>
    <w:rsid w:val="00BD16DB"/>
    <w:rsid w:val="00BD705B"/>
    <w:rsid w:val="00BE0D07"/>
    <w:rsid w:val="00BE0FA7"/>
    <w:rsid w:val="00BE194D"/>
    <w:rsid w:val="00BE6FF4"/>
    <w:rsid w:val="00BF0E3A"/>
    <w:rsid w:val="00BF3D26"/>
    <w:rsid w:val="00C04730"/>
    <w:rsid w:val="00C122F8"/>
    <w:rsid w:val="00C13985"/>
    <w:rsid w:val="00C14F4D"/>
    <w:rsid w:val="00C23813"/>
    <w:rsid w:val="00C35549"/>
    <w:rsid w:val="00C52E66"/>
    <w:rsid w:val="00C52EAC"/>
    <w:rsid w:val="00C537E9"/>
    <w:rsid w:val="00C561F8"/>
    <w:rsid w:val="00C56CD7"/>
    <w:rsid w:val="00C61551"/>
    <w:rsid w:val="00C62445"/>
    <w:rsid w:val="00C709C2"/>
    <w:rsid w:val="00C753B3"/>
    <w:rsid w:val="00C87ACD"/>
    <w:rsid w:val="00C940F2"/>
    <w:rsid w:val="00CA3CA2"/>
    <w:rsid w:val="00CA5C9B"/>
    <w:rsid w:val="00CB7E5F"/>
    <w:rsid w:val="00CC1C80"/>
    <w:rsid w:val="00CC5818"/>
    <w:rsid w:val="00CC61D7"/>
    <w:rsid w:val="00CC6A60"/>
    <w:rsid w:val="00CC6A67"/>
    <w:rsid w:val="00CD001D"/>
    <w:rsid w:val="00CD373D"/>
    <w:rsid w:val="00CD483C"/>
    <w:rsid w:val="00CD5F61"/>
    <w:rsid w:val="00CE19CF"/>
    <w:rsid w:val="00CE35E9"/>
    <w:rsid w:val="00CF2C81"/>
    <w:rsid w:val="00CF737A"/>
    <w:rsid w:val="00D10482"/>
    <w:rsid w:val="00D1234C"/>
    <w:rsid w:val="00D15976"/>
    <w:rsid w:val="00D3093C"/>
    <w:rsid w:val="00D33389"/>
    <w:rsid w:val="00D373F3"/>
    <w:rsid w:val="00D44691"/>
    <w:rsid w:val="00D52557"/>
    <w:rsid w:val="00D61142"/>
    <w:rsid w:val="00D712F2"/>
    <w:rsid w:val="00D72E12"/>
    <w:rsid w:val="00D806DF"/>
    <w:rsid w:val="00D813EA"/>
    <w:rsid w:val="00D86202"/>
    <w:rsid w:val="00D86C4A"/>
    <w:rsid w:val="00D87F53"/>
    <w:rsid w:val="00DA1C77"/>
    <w:rsid w:val="00DA241C"/>
    <w:rsid w:val="00DA4538"/>
    <w:rsid w:val="00DA7C88"/>
    <w:rsid w:val="00DB1557"/>
    <w:rsid w:val="00DB15AC"/>
    <w:rsid w:val="00DB1A0B"/>
    <w:rsid w:val="00DC140A"/>
    <w:rsid w:val="00DC1A5F"/>
    <w:rsid w:val="00DC599D"/>
    <w:rsid w:val="00DC5BD3"/>
    <w:rsid w:val="00DE02CE"/>
    <w:rsid w:val="00DE5769"/>
    <w:rsid w:val="00DE7041"/>
    <w:rsid w:val="00DE71AF"/>
    <w:rsid w:val="00DF367E"/>
    <w:rsid w:val="00DF400A"/>
    <w:rsid w:val="00DF4F16"/>
    <w:rsid w:val="00E0078B"/>
    <w:rsid w:val="00E06544"/>
    <w:rsid w:val="00E16A87"/>
    <w:rsid w:val="00E27130"/>
    <w:rsid w:val="00E27CC4"/>
    <w:rsid w:val="00E30B0D"/>
    <w:rsid w:val="00E31D97"/>
    <w:rsid w:val="00E32384"/>
    <w:rsid w:val="00E37813"/>
    <w:rsid w:val="00E46F45"/>
    <w:rsid w:val="00E47B15"/>
    <w:rsid w:val="00E50BAC"/>
    <w:rsid w:val="00E50C2D"/>
    <w:rsid w:val="00E52C71"/>
    <w:rsid w:val="00E620BA"/>
    <w:rsid w:val="00E64DA5"/>
    <w:rsid w:val="00E65796"/>
    <w:rsid w:val="00E844CA"/>
    <w:rsid w:val="00E87298"/>
    <w:rsid w:val="00E926B1"/>
    <w:rsid w:val="00E94D56"/>
    <w:rsid w:val="00E94E8C"/>
    <w:rsid w:val="00EA695C"/>
    <w:rsid w:val="00EC2A31"/>
    <w:rsid w:val="00EC661D"/>
    <w:rsid w:val="00EC663D"/>
    <w:rsid w:val="00EC6C6C"/>
    <w:rsid w:val="00EC700E"/>
    <w:rsid w:val="00EE2D56"/>
    <w:rsid w:val="00EE5539"/>
    <w:rsid w:val="00F01B98"/>
    <w:rsid w:val="00F02D1C"/>
    <w:rsid w:val="00F105DB"/>
    <w:rsid w:val="00F10E49"/>
    <w:rsid w:val="00F13309"/>
    <w:rsid w:val="00F15110"/>
    <w:rsid w:val="00F21E2F"/>
    <w:rsid w:val="00F25C7C"/>
    <w:rsid w:val="00F25FF2"/>
    <w:rsid w:val="00F33729"/>
    <w:rsid w:val="00F33985"/>
    <w:rsid w:val="00F34A85"/>
    <w:rsid w:val="00F40355"/>
    <w:rsid w:val="00F41748"/>
    <w:rsid w:val="00F45AE5"/>
    <w:rsid w:val="00F54190"/>
    <w:rsid w:val="00F557AD"/>
    <w:rsid w:val="00F6022C"/>
    <w:rsid w:val="00F60779"/>
    <w:rsid w:val="00F6190C"/>
    <w:rsid w:val="00F64918"/>
    <w:rsid w:val="00F65551"/>
    <w:rsid w:val="00F65C2C"/>
    <w:rsid w:val="00F71647"/>
    <w:rsid w:val="00F761F9"/>
    <w:rsid w:val="00F81359"/>
    <w:rsid w:val="00F815AB"/>
    <w:rsid w:val="00F8387A"/>
    <w:rsid w:val="00F95C81"/>
    <w:rsid w:val="00FA22CE"/>
    <w:rsid w:val="00FB36B3"/>
    <w:rsid w:val="00FC0D7D"/>
    <w:rsid w:val="00FC5574"/>
    <w:rsid w:val="00FD4866"/>
    <w:rsid w:val="00FD70FF"/>
    <w:rsid w:val="00FE7545"/>
    <w:rsid w:val="00FE78C6"/>
    <w:rsid w:val="00FF1400"/>
    <w:rsid w:val="00FF6C88"/>
    <w:rsid w:val="00FF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B430"/>
  <w15:chartTrackingRefBased/>
  <w15:docId w15:val="{EE54FDF6-A184-416C-8A1C-D81F1B0B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Dom</dc:creator>
  <cp:keywords/>
  <dc:description/>
  <cp:lastModifiedBy>Aurelien Dom</cp:lastModifiedBy>
  <cp:revision>1</cp:revision>
  <dcterms:created xsi:type="dcterms:W3CDTF">2018-06-21T06:20:00Z</dcterms:created>
  <dcterms:modified xsi:type="dcterms:W3CDTF">2018-06-21T06:27:00Z</dcterms:modified>
</cp:coreProperties>
</file>