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Steel Coil Width Arrangement Engine</w:t>
      </w:r>
    </w:p>
    <w:p>
      <w:pPr>
        <w:jc w:val="center"/>
      </w:pPr>
      <w:r>
        <w:rPr>
          <w:i/>
          <w:sz w:val="22"/>
        </w:rPr>
        <w:t>Technical Specification - Draft v1.0</w:t>
      </w:r>
    </w:p>
    <w:p/>
    <w:p>
      <w:pPr>
        <w:pStyle w:val="Heading1"/>
      </w:pPr>
      <w:r>
        <w:t>1. Objective</w:t>
      </w:r>
    </w:p>
    <w:p>
      <w:r>
        <w:t>The Steel Coil Width Arrangement Engine is the single source of truth for transverse stowage geometry. It receives hold and coil parameters and returns exact positions for Bottom, Upper, and Wedge coils. Renderers must not recalculate arrangement rules.</w:t>
      </w:r>
    </w:p>
    <w:p>
      <w:pPr>
        <w:pStyle w:val="Heading1"/>
      </w:pPr>
      <w:r>
        <w:t>2. Inputs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D9EAF7"/>
          </w:tcPr>
          <w:p>
            <w:r/>
            <w:r>
              <w:rPr>
                <w:b/>
                <w:sz w:val="18"/>
              </w:rPr>
              <w:t>Input</w:t>
            </w:r>
          </w:p>
        </w:tc>
        <w:tc>
          <w:tcPr>
            <w:tcW w:type="dxa" w:w="5256"/>
            <w:vAlign w:val="center"/>
            <w:shd w:fill="D9EAF7"/>
          </w:tcPr>
          <w:p>
            <w:r/>
            <w:r>
              <w:rPr>
                <w:b/>
                <w:sz w:val="18"/>
              </w:rPr>
              <w:t>Meaning</w:t>
            </w:r>
          </w:p>
        </w:tc>
      </w:tr>
      <w:tr>
        <w:tc>
          <w:tcPr>
            <w:tcW w:type="dxa" w:w="5256"/>
            <w:vAlign w:val="center"/>
          </w:tcPr>
          <w:p>
            <w:r/>
            <w:r>
              <w:rPr>
                <w:b w:val="0"/>
                <w:sz w:val="18"/>
              </w:rPr>
              <w:t>holdWidth</w:t>
            </w:r>
          </w:p>
        </w:tc>
        <w:tc>
          <w:tcPr>
            <w:tcW w:type="dxa" w:w="5256"/>
            <w:vAlign w:val="center"/>
          </w:tcPr>
          <w:p>
            <w:r/>
            <w:r>
              <w:rPr>
                <w:b w:val="0"/>
                <w:sz w:val="18"/>
              </w:rPr>
              <w:t>Available inside breadth of hold in metres.</w:t>
            </w:r>
          </w:p>
        </w:tc>
      </w:tr>
      <w:tr>
        <w:tc>
          <w:tcPr>
            <w:tcW w:type="dxa" w:w="5256"/>
            <w:vAlign w:val="center"/>
          </w:tcPr>
          <w:p>
            <w:r/>
            <w:r>
              <w:rPr>
                <w:b w:val="0"/>
                <w:sz w:val="18"/>
              </w:rPr>
              <w:t>coilDiameter</w:t>
            </w:r>
          </w:p>
        </w:tc>
        <w:tc>
          <w:tcPr>
            <w:tcW w:type="dxa" w:w="5256"/>
            <w:vAlign w:val="center"/>
          </w:tcPr>
          <w:p>
            <w:r/>
            <w:r>
              <w:rPr>
                <w:b w:val="0"/>
                <w:sz w:val="18"/>
              </w:rPr>
              <w:t>Coil outside diameter in metres.</w:t>
            </w:r>
          </w:p>
        </w:tc>
      </w:tr>
      <w:tr>
        <w:tc>
          <w:tcPr>
            <w:tcW w:type="dxa" w:w="5256"/>
            <w:vAlign w:val="center"/>
          </w:tcPr>
          <w:p>
            <w:r/>
            <w:r>
              <w:rPr>
                <w:b w:val="0"/>
                <w:sz w:val="18"/>
              </w:rPr>
              <w:t>coilWidth</w:t>
            </w:r>
          </w:p>
        </w:tc>
        <w:tc>
          <w:tcPr>
            <w:tcW w:type="dxa" w:w="5256"/>
            <w:vAlign w:val="center"/>
          </w:tcPr>
          <w:p>
            <w:r/>
            <w:r>
              <w:rPr>
                <w:b w:val="0"/>
                <w:sz w:val="18"/>
              </w:rPr>
              <w:t>Longitudinal width of coil in metres.</w:t>
            </w:r>
          </w:p>
        </w:tc>
      </w:tr>
      <w:tr>
        <w:tc>
          <w:tcPr>
            <w:tcW w:type="dxa" w:w="5256"/>
            <w:vAlign w:val="center"/>
          </w:tcPr>
          <w:p>
            <w:r/>
            <w:r>
              <w:rPr>
                <w:b w:val="0"/>
                <w:sz w:val="18"/>
              </w:rPr>
              <w:t>coilWeight</w:t>
            </w:r>
          </w:p>
        </w:tc>
        <w:tc>
          <w:tcPr>
            <w:tcW w:type="dxa" w:w="5256"/>
            <w:vAlign w:val="center"/>
          </w:tcPr>
          <w:p>
            <w:r/>
            <w:r>
              <w:rPr>
                <w:b w:val="0"/>
                <w:sz w:val="18"/>
              </w:rPr>
              <w:t>Weight per coil in tonnes, or actual list weights.</w:t>
            </w:r>
          </w:p>
        </w:tc>
      </w:tr>
      <w:tr>
        <w:tc>
          <w:tcPr>
            <w:tcW w:type="dxa" w:w="5256"/>
            <w:vAlign w:val="center"/>
          </w:tcPr>
          <w:p>
            <w:r/>
            <w:r>
              <w:rPr>
                <w:b w:val="0"/>
                <w:sz w:val="18"/>
              </w:rPr>
              <w:t>rowGap</w:t>
            </w:r>
          </w:p>
        </w:tc>
        <w:tc>
          <w:tcPr>
            <w:tcW w:type="dxa" w:w="5256"/>
            <w:vAlign w:val="center"/>
          </w:tcPr>
          <w:p>
            <w:r/>
            <w:r>
              <w:rPr>
                <w:b w:val="0"/>
                <w:sz w:val="18"/>
              </w:rPr>
              <w:t>Operational gap/tolerance between rows if required.</w:t>
            </w:r>
          </w:p>
        </w:tc>
      </w:tr>
      <w:tr>
        <w:tc>
          <w:tcPr>
            <w:tcW w:type="dxa" w:w="5256"/>
            <w:vAlign w:val="center"/>
          </w:tcPr>
          <w:p>
            <w:r/>
            <w:r>
              <w:rPr>
                <w:b w:val="0"/>
                <w:sz w:val="18"/>
              </w:rPr>
              <w:t>bottomMode</w:t>
            </w:r>
          </w:p>
        </w:tc>
        <w:tc>
          <w:tcPr>
            <w:tcW w:type="dxa" w:w="5256"/>
            <w:vAlign w:val="center"/>
          </w:tcPr>
          <w:p>
            <w:r/>
            <w:r>
              <w:rPr>
                <w:b w:val="0"/>
                <w:sz w:val="18"/>
              </w:rPr>
              <w:t>Auto or Manual.</w:t>
            </w:r>
          </w:p>
        </w:tc>
      </w:tr>
      <w:tr>
        <w:tc>
          <w:tcPr>
            <w:tcW w:type="dxa" w:w="5256"/>
            <w:vAlign w:val="center"/>
          </w:tcPr>
          <w:p>
            <w:r/>
            <w:r>
              <w:rPr>
                <w:b w:val="0"/>
                <w:sz w:val="18"/>
              </w:rPr>
              <w:t>bottomPort / bottomStarboard</w:t>
            </w:r>
          </w:p>
        </w:tc>
        <w:tc>
          <w:tcPr>
            <w:tcW w:type="dxa" w:w="5256"/>
            <w:vAlign w:val="center"/>
          </w:tcPr>
          <w:p>
            <w:r/>
            <w:r>
              <w:rPr>
                <w:b w:val="0"/>
                <w:sz w:val="18"/>
              </w:rPr>
              <w:t>Manual bottom values when bottomMode = Manual.</w:t>
            </w:r>
          </w:p>
        </w:tc>
      </w:tr>
      <w:tr>
        <w:tc>
          <w:tcPr>
            <w:tcW w:type="dxa" w:w="5256"/>
            <w:vAlign w:val="center"/>
          </w:tcPr>
          <w:p>
            <w:r/>
            <w:r>
              <w:rPr>
                <w:b w:val="0"/>
                <w:sz w:val="18"/>
              </w:rPr>
              <w:t>upperPort / upperStarboard</w:t>
            </w:r>
          </w:p>
        </w:tc>
        <w:tc>
          <w:tcPr>
            <w:tcW w:type="dxa" w:w="5256"/>
            <w:vAlign w:val="center"/>
          </w:tcPr>
          <w:p>
            <w:r/>
            <w:r>
              <w:rPr>
                <w:b w:val="0"/>
                <w:sz w:val="18"/>
              </w:rPr>
              <w:t>Manual upper values. Upper remains manual.</w:t>
            </w:r>
          </w:p>
        </w:tc>
      </w:tr>
      <w:tr>
        <w:tc>
          <w:tcPr>
            <w:tcW w:type="dxa" w:w="5256"/>
            <w:vAlign w:val="center"/>
          </w:tcPr>
          <w:p>
            <w:r/>
            <w:r>
              <w:rPr>
                <w:b w:val="0"/>
                <w:sz w:val="18"/>
              </w:rPr>
              <w:t>wedgeMode</w:t>
            </w:r>
          </w:p>
        </w:tc>
        <w:tc>
          <w:tcPr>
            <w:tcW w:type="dxa" w:w="5256"/>
            <w:vAlign w:val="center"/>
          </w:tcPr>
          <w:p>
            <w:r/>
            <w:r>
              <w:rPr>
                <w:b w:val="0"/>
                <w:sz w:val="18"/>
              </w:rPr>
              <w:t>Auto or Manual.</w:t>
            </w:r>
          </w:p>
        </w:tc>
      </w:tr>
      <w:tr>
        <w:tc>
          <w:tcPr>
            <w:tcW w:type="dxa" w:w="5256"/>
            <w:vAlign w:val="center"/>
          </w:tcPr>
          <w:p>
            <w:r/>
            <w:r>
              <w:rPr>
                <w:b w:val="0"/>
                <w:sz w:val="18"/>
              </w:rPr>
              <w:t>manualWedgeCount</w:t>
            </w:r>
          </w:p>
        </w:tc>
        <w:tc>
          <w:tcPr>
            <w:tcW w:type="dxa" w:w="5256"/>
            <w:vAlign w:val="center"/>
          </w:tcPr>
          <w:p>
            <w:r/>
            <w:r>
              <w:rPr>
                <w:b w:val="0"/>
                <w:sz w:val="18"/>
              </w:rPr>
              <w:t>Manual wedge count when wedgeMode = Manual.</w:t>
            </w:r>
          </w:p>
        </w:tc>
      </w:tr>
    </w:tbl>
    <w:p/>
    <w:p>
      <w:pPr>
        <w:pStyle w:val="Heading1"/>
      </w:pPr>
      <w:r>
        <w:t>3. Outputs</w:t>
      </w:r>
    </w:p>
    <w:p>
      <w:r>
        <w:t>The engine returns a list of coil objects. Every renderer must use this list directly.</w:t>
      </w:r>
    </w:p>
    <w:p>
      <w:r>
        <w:t>Example output fields: id, type, tier, side, x, y, diameter, width, weight, supportLeftId, supportRightId, holdId, blockId.</w:t>
      </w:r>
    </w:p>
    <w:p>
      <w:pPr>
        <w:pStyle w:val="Heading1"/>
      </w:pPr>
      <w:r>
        <w:t>4. Bottom Row Algorithm</w:t>
      </w:r>
    </w:p>
    <w:p>
      <w:pPr>
        <w:pStyle w:val="Heading2"/>
      </w:pPr>
      <w:r>
        <w:t>4.1 Auto Mode</w:t>
      </w:r>
    </w:p>
    <w:p>
      <w:pPr>
        <w:pStyle w:val="ListNumber"/>
      </w:pPr>
      <w:r>
        <w:t>Calculate maximum possible bottom coils from holdWidth and coilDiameter.</w:t>
      </w:r>
    </w:p>
    <w:p>
      <w:pPr>
        <w:pStyle w:val="ListNumber"/>
      </w:pPr>
      <w:r>
        <w:t>If the calculated arrangement is too tight or produces negative available space, remove one bottom coil and recalculate.</w:t>
      </w:r>
    </w:p>
    <w:p>
      <w:pPr>
        <w:pStyle w:val="ListNumber"/>
      </w:pPr>
      <w:r>
        <w:t>Split bottom coils between port and starboard as evenly as possible. If odd, the extra coil may go to the selected default side, normally port, unless user policy says otherwise.</w:t>
      </w:r>
    </w:p>
    <w:p>
      <w:pPr>
        <w:pStyle w:val="ListNumber"/>
      </w:pPr>
      <w:r>
        <w:t>The bottom arrangement creates one central space unless the geometry engine explicitly identifies two real separate central spaces.</w:t>
      </w:r>
    </w:p>
    <w:p>
      <w:pPr>
        <w:pStyle w:val="Heading2"/>
      </w:pPr>
      <w:r>
        <w:t>4.2 Manual Mode</w:t>
      </w:r>
    </w:p>
    <w:p>
      <w:r>
        <w:t>Use bottomPort and bottomStarboard exactly as entered. The engine may warn if the arrangement exceeds hold width, but should not silently change user input.</w:t>
      </w:r>
    </w:p>
    <w:p>
      <w:pPr>
        <w:pStyle w:val="Heading1"/>
      </w:pPr>
      <w:r>
        <w:t>5. Wedge Auto Rule</w:t>
      </w:r>
    </w:p>
    <w:p>
      <w:r>
        <w:t>The wedge decision must be based on actual geometry, not only on a simple gap &gt; diameter / 3 test.</w:t>
      </w:r>
    </w:p>
    <w:p>
      <w:pPr>
        <w:pStyle w:val="ListBullet"/>
      </w:pPr>
      <w:r>
        <w:t>Calculate the real central gap or gaps after bottom row positions are known.</w:t>
      </w:r>
    </w:p>
    <w:p>
      <w:pPr>
        <w:pStyle w:val="ListBullet"/>
      </w:pPr>
      <w:r>
        <w:t>If there is one real central gap, place one wedge if it is physically meaningful and supported.</w:t>
      </w:r>
    </w:p>
    <w:p>
      <w:pPr>
        <w:pStyle w:val="ListBullet"/>
      </w:pPr>
      <w:r>
        <w:t>If there are two real central gaps, and each is sufficient and has correct support, place two wedges.</w:t>
      </w:r>
    </w:p>
    <w:p>
      <w:pPr>
        <w:pStyle w:val="ListBullet"/>
      </w:pPr>
      <w:r>
        <w:t>Never place two wedges in the same single gap.</w:t>
      </w:r>
    </w:p>
    <w:p>
      <w:pPr>
        <w:pStyle w:val="ListBullet"/>
      </w:pPr>
      <w:r>
        <w:t>Never overlap wedge coils.</w:t>
      </w:r>
    </w:p>
    <w:p>
      <w:pPr>
        <w:pStyle w:val="ListBullet"/>
      </w:pPr>
      <w:r>
        <w:t>If a two-wedge arrangement would break the stow or create unsupported coils, use one wedge and return a warning if needed.</w:t>
      </w:r>
    </w:p>
    <w:p>
      <w:pPr>
        <w:pStyle w:val="ListBullet"/>
      </w:pPr>
      <w:r>
        <w:t>The previous validated behaviour for 3+3 bottom with 1.8 m diameter is one wedge, not two.</w:t>
      </w:r>
    </w:p>
    <w:p>
      <w:pPr>
        <w:pStyle w:val="Heading1"/>
      </w:pPr>
      <w:r>
        <w:t>6. Upper Row Rule</w:t>
      </w:r>
    </w:p>
    <w:p>
      <w:r>
        <w:t>Upper Row remains manual. The app must not automatically change upperPort or upperStarboard. The engine only positions the requested upper coils.</w:t>
      </w:r>
    </w:p>
    <w:p>
      <w:pPr>
        <w:pStyle w:val="ListBullet"/>
      </w:pPr>
      <w:r>
        <w:t>Each upper coil must be placed in a valley between two bottom coils.</w:t>
      </w:r>
    </w:p>
    <w:p>
      <w:pPr>
        <w:pStyle w:val="ListBullet"/>
      </w:pPr>
      <w:r>
        <w:t>Each upper coil must touch/support on two bottom coils whenever possible.</w:t>
      </w:r>
    </w:p>
    <w:p>
      <w:pPr>
        <w:pStyle w:val="ListBullet"/>
      </w:pPr>
      <w:r>
        <w:t>If user requests more upper coils than support positions exist, show warning: Upper Tier exceeds available support positions.</w:t>
      </w:r>
    </w:p>
    <w:p>
      <w:pPr>
        <w:pStyle w:val="ListBullet"/>
      </w:pPr>
      <w:r>
        <w:t>The user may still continue in Expert Mode if warnings are acknowledged.</w:t>
      </w:r>
    </w:p>
    <w:p>
      <w:pPr>
        <w:pStyle w:val="Heading1"/>
      </w:pPr>
      <w:r>
        <w:t>7. Contact Geometry</w:t>
      </w:r>
    </w:p>
    <w:p>
      <w:r>
        <w:t>For equal diameters, an upper coil between two bottom coils has its centre horizontally between the two lower centres. Its vertical position is calculated so that distance to both lower centres equals the coil diameter. For different diameters, use tangency between circles with their actual radii.</w:t>
      </w:r>
    </w:p>
    <w:p>
      <w:pPr>
        <w:pStyle w:val="Heading1"/>
      </w:pPr>
      <w:r>
        <w:t>8. Renderer Contract</w:t>
      </w:r>
    </w:p>
    <w:p>
      <w:pPr>
        <w:pStyle w:val="ListBullet"/>
      </w:pPr>
      <w:r>
        <w:t>Cross Section renderer draws circles from engine output only.</w:t>
      </w:r>
    </w:p>
    <w:p>
      <w:pPr>
        <w:pStyle w:val="ListBullet"/>
      </w:pPr>
      <w:r>
        <w:t>Top View renderer draws longitudinal blocks from engine output only.</w:t>
      </w:r>
    </w:p>
    <w:p>
      <w:pPr>
        <w:pStyle w:val="ListBullet"/>
      </w:pPr>
      <w:r>
        <w:t>3D renderer, when added, will also use the same engine output.</w:t>
      </w:r>
    </w:p>
    <w:p>
      <w:pPr>
        <w:pStyle w:val="ListBullet"/>
      </w:pPr>
      <w:r>
        <w:t>Renderers may scale and style, but must not change positions or coil counts.</w:t>
      </w:r>
    </w:p>
    <w:p>
      <w:pPr>
        <w:pStyle w:val="Heading1"/>
      </w:pPr>
      <w:r>
        <w:t>9. Acceptance Tests</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D9EAF7"/>
          </w:tcPr>
          <w:p>
            <w:r/>
            <w:r>
              <w:rPr>
                <w:b/>
                <w:sz w:val="18"/>
              </w:rPr>
              <w:t>Test</w:t>
            </w:r>
          </w:p>
        </w:tc>
        <w:tc>
          <w:tcPr>
            <w:tcW w:type="dxa" w:w="5256"/>
            <w:vAlign w:val="center"/>
            <w:shd w:fill="D9EAF7"/>
          </w:tcPr>
          <w:p>
            <w:r/>
            <w:r>
              <w:rPr>
                <w:b/>
                <w:sz w:val="18"/>
              </w:rPr>
              <w:t>Expected result</w:t>
            </w:r>
          </w:p>
        </w:tc>
      </w:tr>
      <w:tr>
        <w:tc>
          <w:tcPr>
            <w:tcW w:type="dxa" w:w="5256"/>
            <w:vAlign w:val="center"/>
          </w:tcPr>
          <w:p>
            <w:r/>
            <w:r>
              <w:rPr>
                <w:b w:val="0"/>
                <w:sz w:val="18"/>
              </w:rPr>
              <w:t>Bottom Manual 3+3, D=1.8, Wedge Auto</w:t>
            </w:r>
          </w:p>
        </w:tc>
        <w:tc>
          <w:tcPr>
            <w:tcW w:type="dxa" w:w="5256"/>
            <w:vAlign w:val="center"/>
          </w:tcPr>
          <w:p>
            <w:r/>
            <w:r>
              <w:rPr>
                <w:b w:val="0"/>
                <w:sz w:val="18"/>
              </w:rPr>
              <w:t>One wedge only; no overlapping wedge.</w:t>
            </w:r>
          </w:p>
        </w:tc>
      </w:tr>
      <w:tr>
        <w:tc>
          <w:tcPr>
            <w:tcW w:type="dxa" w:w="5256"/>
            <w:vAlign w:val="center"/>
          </w:tcPr>
          <w:p>
            <w:r/>
            <w:r>
              <w:rPr>
                <w:b w:val="0"/>
                <w:sz w:val="18"/>
              </w:rPr>
              <w:t>Bottom Manual 4+4, Upper 3+3</w:t>
            </w:r>
          </w:p>
        </w:tc>
        <w:tc>
          <w:tcPr>
            <w:tcW w:type="dxa" w:w="5256"/>
            <w:vAlign w:val="center"/>
          </w:tcPr>
          <w:p>
            <w:r/>
            <w:r>
              <w:rPr>
                <w:b w:val="0"/>
                <w:sz w:val="18"/>
              </w:rPr>
              <w:t>Upper coils placed in valleys; wedge centred in real gap.</w:t>
            </w:r>
          </w:p>
        </w:tc>
      </w:tr>
      <w:tr>
        <w:tc>
          <w:tcPr>
            <w:tcW w:type="dxa" w:w="5256"/>
            <w:vAlign w:val="center"/>
          </w:tcPr>
          <w:p>
            <w:r/>
            <w:r>
              <w:rPr>
                <w:b w:val="0"/>
                <w:sz w:val="18"/>
              </w:rPr>
              <w:t>Bottom Auto with large central residual gap</w:t>
            </w:r>
          </w:p>
        </w:tc>
        <w:tc>
          <w:tcPr>
            <w:tcW w:type="dxa" w:w="5256"/>
            <w:vAlign w:val="center"/>
          </w:tcPr>
          <w:p>
            <w:r/>
            <w:r>
              <w:rPr>
                <w:b w:val="0"/>
                <w:sz w:val="18"/>
              </w:rPr>
              <w:t>Two wedges only if two real separate gaps exist.</w:t>
            </w:r>
          </w:p>
        </w:tc>
      </w:tr>
      <w:tr>
        <w:tc>
          <w:tcPr>
            <w:tcW w:type="dxa" w:w="5256"/>
            <w:vAlign w:val="center"/>
          </w:tcPr>
          <w:p>
            <w:r/>
            <w:r>
              <w:rPr>
                <w:b w:val="0"/>
                <w:sz w:val="18"/>
              </w:rPr>
              <w:t>Upper requested higher than support positions</w:t>
            </w:r>
          </w:p>
        </w:tc>
        <w:tc>
          <w:tcPr>
            <w:tcW w:type="dxa" w:w="5256"/>
            <w:vAlign w:val="center"/>
          </w:tcPr>
          <w:p>
            <w:r/>
            <w:r>
              <w:rPr>
                <w:b w:val="0"/>
                <w:sz w:val="18"/>
              </w:rPr>
              <w:t>Warning displayed; no silent correction.</w:t>
            </w:r>
          </w:p>
        </w:tc>
      </w:tr>
      <w:tr>
        <w:tc>
          <w:tcPr>
            <w:tcW w:type="dxa" w:w="5256"/>
            <w:vAlign w:val="center"/>
          </w:tcPr>
          <w:p>
            <w:r/>
            <w:r>
              <w:rPr>
                <w:b w:val="0"/>
                <w:sz w:val="18"/>
              </w:rPr>
              <w:t>Hold 1 allocation 0 m</w:t>
            </w:r>
          </w:p>
        </w:tc>
        <w:tc>
          <w:tcPr>
            <w:tcW w:type="dxa" w:w="5256"/>
            <w:vAlign w:val="center"/>
          </w:tcPr>
          <w:p>
            <w:r/>
            <w:r>
              <w:rPr>
                <w:b w:val="0"/>
                <w:sz w:val="18"/>
              </w:rPr>
              <w:t>Zero coils and zero tonnes allocated to Hold 1.</w:t>
            </w:r>
          </w:p>
        </w:tc>
      </w:tr>
      <w:tr>
        <w:tc>
          <w:tcPr>
            <w:tcW w:type="dxa" w:w="5256"/>
            <w:vAlign w:val="center"/>
          </w:tcPr>
          <w:p>
            <w:r/>
            <w:r>
              <w:rPr>
                <w:b w:val="0"/>
                <w:sz w:val="18"/>
              </w:rPr>
              <w:t>Top View versus Cross Section</w:t>
            </w:r>
          </w:p>
        </w:tc>
        <w:tc>
          <w:tcPr>
            <w:tcW w:type="dxa" w:w="5256"/>
            <w:vAlign w:val="center"/>
          </w:tcPr>
          <w:p>
            <w:r/>
            <w:r>
              <w:rPr>
                <w:b w:val="0"/>
                <w:sz w:val="18"/>
              </w:rPr>
              <w:t>Both display the same bottom, upper and wedge counts from engine output.</w:t>
            </w:r>
          </w:p>
        </w:tc>
      </w:tr>
    </w:tbl>
    <w:p/>
    <w:p>
      <w:pPr>
        <w:pStyle w:val="Heading1"/>
      </w:pPr>
      <w:r>
        <w:t>10. Implementation Note</w:t>
      </w:r>
    </w:p>
    <w:p>
      <w:r>
        <w:t>This engine should be implemented as a pure function with no UI dependencies. The UI provides inputs, and renderers consume outputs. This prevents future mismatch between Top View, Cross Section, and 3D View.</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