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DC7347">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DC7347">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DC7347">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DC7347">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DC7347">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269DA" w:rsidP="009B15AD">
            <w:r>
              <w:t>Lương Đức Duy</w:t>
            </w:r>
          </w:p>
        </w:tc>
        <w:tc>
          <w:tcPr>
            <w:tcW w:w="2384" w:type="dxa"/>
          </w:tcPr>
          <w:p w:rsidR="00A269DA" w:rsidRDefault="00A269DA" w:rsidP="009B15AD">
            <w:r>
              <w:t>20/08/2014</w:t>
            </w:r>
          </w:p>
        </w:tc>
        <w:tc>
          <w:tcPr>
            <w:tcW w:w="2367" w:type="dxa"/>
          </w:tcPr>
          <w:p w:rsidR="00A269DA" w:rsidRDefault="00A269DA" w:rsidP="009B15AD"/>
        </w:tc>
        <w:tc>
          <w:tcPr>
            <w:tcW w:w="2251" w:type="dxa"/>
          </w:tcPr>
          <w:p w:rsidR="00A269DA" w:rsidRDefault="00A269DA" w:rsidP="009B15AD"/>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70"/>
        <w:gridCol w:w="2475"/>
        <w:gridCol w:w="1530"/>
        <w:gridCol w:w="4675"/>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14"/>
        <w:gridCol w:w="3196"/>
        <w:gridCol w:w="2940"/>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154"/>
        <w:gridCol w:w="7196"/>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w:t>
            </w:r>
            <w:r>
              <w:lastRenderedPageBreak/>
              <w:t>định 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lastRenderedPageBreak/>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w:t>
            </w:r>
            <w:r>
              <w:t>í dụ : Upload file NL04_TenTaiLieu_vx.x,</w:t>
            </w:r>
            <w:r>
              <w:t>.Mục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bookmarkStart w:id="4" w:name="_GoBack"/>
            <w:bookmarkEnd w:id="4"/>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lastRenderedPageBreak/>
              <w:t>Software Requirement Specification</w:t>
            </w:r>
          </w:p>
        </w:tc>
        <w:tc>
          <w:tcPr>
            <w:tcW w:w="7195" w:type="dxa"/>
          </w:tcPr>
          <w:p w:rsidR="00A30527" w:rsidRDefault="00A30527" w:rsidP="006702FE">
            <w:pPr>
              <w:pStyle w:val="ListParagraph"/>
              <w:numPr>
                <w:ilvl w:val="0"/>
                <w:numId w:val="5"/>
              </w:numPr>
            </w:pPr>
            <w:r>
              <w:t>Mô tả hệ thống. Có thể có sơ đồ chức năng của tổ chức.</w:t>
            </w:r>
          </w:p>
          <w:p w:rsidR="00A30527" w:rsidRDefault="00A30527" w:rsidP="006702FE">
            <w:pPr>
              <w:pStyle w:val="ListParagraph"/>
              <w:numPr>
                <w:ilvl w:val="0"/>
                <w:numId w:val="5"/>
              </w:numPr>
            </w:pPr>
            <w:r>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73"/>
        <w:gridCol w:w="2309"/>
        <w:gridCol w:w="1090"/>
        <w:gridCol w:w="2816"/>
        <w:gridCol w:w="2362"/>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w:t>
            </w:r>
            <w:r w:rsidRPr="006602FA">
              <w:lastRenderedPageBreak/>
              <w:t>cũng như các chức 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 xml:space="preserve">Cần có mục hướng dẫn để giúp khách hàng dễ </w:t>
            </w:r>
            <w:r w:rsidRPr="006602FA">
              <w:lastRenderedPageBreak/>
              <w:t>dàng trong việc sử dụng.</w:t>
            </w:r>
          </w:p>
        </w:tc>
        <w:tc>
          <w:tcPr>
            <w:tcW w:w="1263" w:type="pct"/>
          </w:tcPr>
          <w:p w:rsidR="006602FA" w:rsidRPr="006602FA" w:rsidRDefault="006602FA" w:rsidP="0010712D">
            <w:pPr>
              <w:spacing w:after="160"/>
            </w:pPr>
            <w:r w:rsidRPr="006602FA">
              <w:lastRenderedPageBreak/>
              <w:t xml:space="preserve">Tổ chức buổi hướng dẫn khách </w:t>
            </w:r>
            <w:r w:rsidRPr="006602FA">
              <w:lastRenderedPageBreak/>
              <w:t>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Không đồng nhất trong việc đặt tên biến cũng như tên  hàm…</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quy ước đặt tên hàm, biến do nhóm quy định(có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w:t>
            </w:r>
            <w:r w:rsidRPr="006602FA">
              <w:lastRenderedPageBreak/>
              <w:t>thuận lợi trong việc 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w:t>
            </w:r>
            <w:r w:rsidRPr="006602FA">
              <w:lastRenderedPageBreak/>
              <w:t>cách cụ thể. Các thành 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w:t>
            </w:r>
            <w:r w:rsidRPr="006602FA">
              <w:lastRenderedPageBreak/>
              <w:t>đáp ứng tiến độ của kế hoạch.</w:t>
            </w:r>
          </w:p>
        </w:tc>
      </w:tr>
    </w:tbl>
    <w:p w:rsidR="006602FA" w:rsidRPr="006602FA" w:rsidRDefault="006602FA" w:rsidP="006602FA"/>
    <w:p w:rsidR="009B15AD" w:rsidRPr="009B15AD" w:rsidRDefault="009B15AD" w:rsidP="009B15AD">
      <w:pPr>
        <w:pStyle w:val="Heading1"/>
      </w:pPr>
      <w:bookmarkStart w:id="6" w:name="_Toc396152721"/>
      <w:r w:rsidRPr="009B15AD">
        <w:t>Quản lý cấu hình</w:t>
      </w:r>
      <w:bookmarkEnd w:id="6"/>
    </w:p>
    <w:sectPr w:rsidR="009B15AD" w:rsidRPr="009B15AD"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347" w:rsidRDefault="00DC7347" w:rsidP="009B15AD">
      <w:pPr>
        <w:spacing w:after="0" w:line="240" w:lineRule="auto"/>
      </w:pPr>
      <w:r>
        <w:separator/>
      </w:r>
    </w:p>
  </w:endnote>
  <w:endnote w:type="continuationSeparator" w:id="0">
    <w:p w:rsidR="00DC7347" w:rsidRDefault="00DC7347"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347" w:rsidRDefault="00DC7347" w:rsidP="009B15AD">
      <w:pPr>
        <w:spacing w:after="0" w:line="240" w:lineRule="auto"/>
      </w:pPr>
      <w:r>
        <w:separator/>
      </w:r>
    </w:p>
  </w:footnote>
  <w:footnote w:type="continuationSeparator" w:id="0">
    <w:p w:rsidR="00DC7347" w:rsidRDefault="00DC7347"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801E28">
      <w:rPr>
        <w:rFonts w:ascii="TimesNewRomanPS-BoldItalicMT" w:hAnsi="TimesNewRomanPS-BoldItalicMT" w:cs="TimesNewRomanPS-BoldItalicMT"/>
        <w:b/>
        <w:bCs/>
        <w:i/>
        <w:iCs/>
        <w:noProof/>
        <w:sz w:val="20"/>
        <w:szCs w:val="20"/>
      </w:rPr>
      <w:t>ix</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66A0D"/>
    <w:rsid w:val="002A3AE5"/>
    <w:rsid w:val="0037439F"/>
    <w:rsid w:val="00391D2E"/>
    <w:rsid w:val="003B1AAD"/>
    <w:rsid w:val="003B5840"/>
    <w:rsid w:val="004160B1"/>
    <w:rsid w:val="00457354"/>
    <w:rsid w:val="0048121B"/>
    <w:rsid w:val="004D3A3B"/>
    <w:rsid w:val="004F02EE"/>
    <w:rsid w:val="00553272"/>
    <w:rsid w:val="00641C0C"/>
    <w:rsid w:val="006467C5"/>
    <w:rsid w:val="006602FA"/>
    <w:rsid w:val="006702FE"/>
    <w:rsid w:val="00690BA0"/>
    <w:rsid w:val="00740E3F"/>
    <w:rsid w:val="00742EC5"/>
    <w:rsid w:val="007C6752"/>
    <w:rsid w:val="00801E28"/>
    <w:rsid w:val="00811951"/>
    <w:rsid w:val="008740BE"/>
    <w:rsid w:val="008F1405"/>
    <w:rsid w:val="0090175F"/>
    <w:rsid w:val="00907989"/>
    <w:rsid w:val="009B15AD"/>
    <w:rsid w:val="00A269DA"/>
    <w:rsid w:val="00A30527"/>
    <w:rsid w:val="00B1441A"/>
    <w:rsid w:val="00B147EB"/>
    <w:rsid w:val="00B941B6"/>
    <w:rsid w:val="00B96621"/>
    <w:rsid w:val="00BC33A6"/>
    <w:rsid w:val="00BF36BE"/>
    <w:rsid w:val="00BF3FAD"/>
    <w:rsid w:val="00C62AB6"/>
    <w:rsid w:val="00C834F0"/>
    <w:rsid w:val="00D05CCD"/>
    <w:rsid w:val="00D233CE"/>
    <w:rsid w:val="00D804B8"/>
    <w:rsid w:val="00DC7347"/>
    <w:rsid w:val="00E061BC"/>
    <w:rsid w:val="00E276FF"/>
    <w:rsid w:val="00E50F96"/>
    <w:rsid w:val="00EA5BD6"/>
    <w:rsid w:val="00EC6B4B"/>
    <w:rsid w:val="00F25833"/>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1A28A-79AD-4A1F-8182-6A56A7EA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3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FAF2-9C37-4713-BCB7-3E2C6CB3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Đức Duy Lương</cp:lastModifiedBy>
  <cp:revision>57</cp:revision>
  <dcterms:created xsi:type="dcterms:W3CDTF">2014-08-18T11:53:00Z</dcterms:created>
  <dcterms:modified xsi:type="dcterms:W3CDTF">2014-08-20T00:32:00Z</dcterms:modified>
</cp:coreProperties>
</file>