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미국 10년물 국채(장기국채)이자 상승이슈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-통화정책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중앙은행의 목적 : 물가안정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일반적으로 기준금리 조정을 통해 통화량 조절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금리는 일반적으로 돈의가치 비례(환율과 상대적인 관점에서 반비례)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-인플레이션의 전조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국제적인 확장적 통화정책 + 포스트코로나, 백신공급 + 보복적소비, 경제성장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인플레이션 문제점 : 소비재가격상승, 실질임금소득하락, 실물자산(부동산)가격 상승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인플레이션율이 국채이자율보다 클 경우 국채의 매력이 떨어져 수요하락 -&gt; 국채가격 하락(</w:t>
      </w:r>
      <w:r w:rsidDel="00000000" w:rsidR="00000000" w:rsidRPr="00000000">
        <w:rPr>
          <w:u w:val="single"/>
          <w:rtl w:val="0"/>
        </w:rPr>
        <w:t xml:space="preserve">국채이자율 상승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-부채 상황과 금리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경제주체들 많은 부채 가지고 있는 상황에서 이자율 상승은 더 안좋은 효과를 가져다 주므로 확장적 통화정책(이자율 낮은수준 유지)필요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인플레이션 잡으려면 긴축적통화정책(이자율상승)필요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🡺🡺 중앙은행들 성장속도에 맞춰서 금리인상할 필요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23447</wp:posOffset>
            </wp:positionH>
            <wp:positionV relativeFrom="paragraph">
              <wp:posOffset>353206</wp:posOffset>
            </wp:positionV>
            <wp:extent cx="5726430" cy="545719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457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참고문헌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highlight w:val="white"/>
              <w:rtl w:val="0"/>
            </w:rPr>
            <w:t xml:space="preserve">최남진. "미국의 금리인상 배경과 국내 금융시장에 미치는 영향." 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000000"/>
              <w:highlight w:val="white"/>
              <w:rtl w:val="0"/>
            </w:rPr>
            <w:t xml:space="preserve">우정정보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2017 (2017): 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fFRsnbXzF/1nYLmMKAI48po3g==">AMUW2mVZU0o9IGQVFzy4PeLajoDLwGBl5r6ObcsqoI7B4uPRua80KV3b5I7CIuT7pGvGsQ7IIm/YRZENi2bIRdAKDNm5oBATUuK2QQ3TyfdSuk/M4LPNprq2nblTQINywFKfc7GUCOO++qTB9/QMZKNCaar/lAyalas9pXyeuWRUEwE5c5tO92q6rKz8MVbewCL21ShJISGiiosvFovVpMIxrFPNfccDTA==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2021-03-19T05:15:00Z</dcterms:created>
  <dc:creator>Jeong JaeHyun</dc:creator>
</cp:coreProperties>
</file>