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30AE" w14:textId="310D5E54" w:rsidR="009B3D68" w:rsidRPr="00B8539D" w:rsidRDefault="009B3D68" w:rsidP="009B3D68">
      <w:pPr>
        <w:jc w:val="center"/>
        <w:rPr>
          <w:rFonts w:ascii="Titillium Web" w:hAnsi="Titillium Web"/>
          <w:sz w:val="24"/>
          <w:szCs w:val="24"/>
        </w:rPr>
      </w:pPr>
      <w:r w:rsidRPr="00B8539D">
        <w:rPr>
          <w:rFonts w:ascii="Titillium Web" w:hAnsi="Titillium Web"/>
          <w:sz w:val="24"/>
          <w:szCs w:val="24"/>
        </w:rPr>
        <w:t xml:space="preserve">NOTA DI SINTESI DEL RENDICONTO SOCIALE PROVINCIALE </w:t>
      </w:r>
      <w:r w:rsidR="00D860AF">
        <w:rPr>
          <w:rFonts w:ascii="Titillium Web" w:hAnsi="Titillium Web"/>
          <w:sz w:val="24"/>
          <w:szCs w:val="24"/>
        </w:rPr>
        <w:t>2025</w:t>
      </w:r>
    </w:p>
    <w:p w14:paraId="18C04C86" w14:textId="0A26BF1C" w:rsidR="0099626D" w:rsidRPr="0099626D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99626D">
        <w:rPr>
          <w:rFonts w:ascii="Titillium Web" w:hAnsi="Titillium Web"/>
        </w:rPr>
        <w:t xml:space="preserve">Dal Rendiconto Sociale INPS della provincia di </w:t>
      </w:r>
      <w:r w:rsidR="00FD2588">
        <w:rPr>
          <w:rFonts w:ascii="Titillium Web" w:hAnsi="Titillium Web"/>
        </w:rPr>
        <w:t>Pesaro e Urbino</w:t>
      </w:r>
      <w:r w:rsidRPr="0099626D">
        <w:rPr>
          <w:rFonts w:ascii="Titillium Web" w:hAnsi="Titillium Web"/>
        </w:rPr>
        <w:t>, diversi e significativi sono gli elementi che emergono riferiti alla realtà provinciale.</w:t>
      </w:r>
    </w:p>
    <w:p w14:paraId="24446D00" w14:textId="04A51BEA" w:rsidR="0099626D" w:rsidRPr="00B227FB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5D0CFA">
        <w:rPr>
          <w:rFonts w:ascii="Titillium Web" w:hAnsi="Titillium Web"/>
        </w:rPr>
        <w:t>In particolare, gli ultimi dati confermano un</w:t>
      </w:r>
      <w:r w:rsidR="005D0CFA" w:rsidRPr="005D0CFA">
        <w:rPr>
          <w:rFonts w:ascii="Titillium Web" w:hAnsi="Titillium Web"/>
        </w:rPr>
        <w:t xml:space="preserve"> calo </w:t>
      </w:r>
      <w:r w:rsidRPr="005D0CFA">
        <w:rPr>
          <w:rFonts w:ascii="Titillium Web" w:hAnsi="Titillium Web"/>
        </w:rPr>
        <w:t>della popolazione residente con un saldo demografico di -</w:t>
      </w:r>
      <w:r w:rsidR="005D0CFA" w:rsidRPr="005D0CFA">
        <w:rPr>
          <w:rFonts w:ascii="Titillium Web" w:hAnsi="Titillium Web"/>
        </w:rPr>
        <w:t>902</w:t>
      </w:r>
      <w:r w:rsidRPr="005D0CFA">
        <w:rPr>
          <w:rFonts w:ascii="Titillium Web" w:hAnsi="Titillium Web"/>
        </w:rPr>
        <w:t>, determinato da un saldo naturale (la differenza fra nascite e decessi) pari a -2.00</w:t>
      </w:r>
      <w:r w:rsidR="005D0CFA" w:rsidRPr="005D0CFA">
        <w:rPr>
          <w:rFonts w:ascii="Titillium Web" w:hAnsi="Titillium Web"/>
        </w:rPr>
        <w:t>9</w:t>
      </w:r>
      <w:r w:rsidRPr="005D0CFA">
        <w:rPr>
          <w:rFonts w:ascii="Titillium Web" w:hAnsi="Titillium Web"/>
        </w:rPr>
        <w:t xml:space="preserve"> persone, </w:t>
      </w:r>
      <w:r w:rsidR="005D0CFA" w:rsidRPr="005D0CFA">
        <w:rPr>
          <w:rFonts w:ascii="Titillium Web" w:hAnsi="Titillium Web"/>
        </w:rPr>
        <w:t>non compensato</w:t>
      </w:r>
      <w:r w:rsidRPr="005D0CFA">
        <w:rPr>
          <w:rFonts w:ascii="Titillium Web" w:hAnsi="Titillium Web"/>
        </w:rPr>
        <w:t xml:space="preserve"> dal saldo migratorio (differenza tra immigrati e emigrati) che registra un </w:t>
      </w:r>
      <w:r w:rsidR="005D0CFA" w:rsidRPr="005D0CFA">
        <w:rPr>
          <w:rFonts w:ascii="Titillium Web" w:hAnsi="Titillium Web"/>
        </w:rPr>
        <w:t>1.107</w:t>
      </w:r>
      <w:r w:rsidRPr="005D0CFA">
        <w:rPr>
          <w:rFonts w:ascii="Titillium Web" w:hAnsi="Titillium Web"/>
        </w:rPr>
        <w:t>. L’incidenza</w:t>
      </w:r>
      <w:r w:rsidRPr="00917D5B">
        <w:rPr>
          <w:rFonts w:ascii="Titillium Web" w:hAnsi="Titillium Web"/>
        </w:rPr>
        <w:t xml:space="preserve"> dei nuovi immigrati da altri Paesi sul totale della popolazione, </w:t>
      </w:r>
      <w:r w:rsidRPr="00B227FB">
        <w:rPr>
          <w:rFonts w:ascii="Titillium Web" w:hAnsi="Titillium Web"/>
        </w:rPr>
        <w:t xml:space="preserve">pari a </w:t>
      </w:r>
      <w:r w:rsidR="00917D5B" w:rsidRPr="00B227FB">
        <w:rPr>
          <w:rFonts w:ascii="Titillium Web" w:hAnsi="Titillium Web"/>
        </w:rPr>
        <w:t>5,5</w:t>
      </w:r>
      <w:r w:rsidR="00D64CD1" w:rsidRPr="00B227FB">
        <w:rPr>
          <w:rFonts w:ascii="Titillium Web" w:hAnsi="Titillium Web"/>
        </w:rPr>
        <w:t>‰</w:t>
      </w:r>
      <w:r w:rsidRPr="00B227FB">
        <w:rPr>
          <w:rFonts w:ascii="Titillium Web" w:hAnsi="Titillium Web"/>
        </w:rPr>
        <w:t xml:space="preserve">, risulta </w:t>
      </w:r>
      <w:r w:rsidR="00917D5B" w:rsidRPr="00B227FB">
        <w:rPr>
          <w:rFonts w:ascii="Titillium Web" w:hAnsi="Titillium Web"/>
        </w:rPr>
        <w:t>sup</w:t>
      </w:r>
      <w:r w:rsidRPr="00B227FB">
        <w:rPr>
          <w:rFonts w:ascii="Titillium Web" w:hAnsi="Titillium Web"/>
        </w:rPr>
        <w:t>eriore alla media regionale (5,3</w:t>
      </w:r>
      <w:r w:rsidR="00D64CD1" w:rsidRPr="00B227FB">
        <w:rPr>
          <w:rFonts w:ascii="Titillium Web" w:hAnsi="Titillium Web"/>
        </w:rPr>
        <w:t>‰</w:t>
      </w:r>
      <w:r w:rsidRPr="00B227FB">
        <w:rPr>
          <w:rFonts w:ascii="Titillium Web" w:hAnsi="Titillium Web"/>
        </w:rPr>
        <w:t>) e a quella nazionale (4,2</w:t>
      </w:r>
      <w:r w:rsidR="00D64CD1" w:rsidRPr="00B227FB">
        <w:rPr>
          <w:rFonts w:ascii="Titillium Web" w:hAnsi="Titillium Web"/>
        </w:rPr>
        <w:t>‰</w:t>
      </w:r>
      <w:r w:rsidRPr="00B227FB">
        <w:rPr>
          <w:rFonts w:ascii="Titillium Web" w:hAnsi="Titillium Web"/>
        </w:rPr>
        <w:t>).</w:t>
      </w:r>
    </w:p>
    <w:p w14:paraId="701654F1" w14:textId="26D46C06" w:rsidR="0099626D" w:rsidRPr="005D55F0" w:rsidRDefault="0099626D" w:rsidP="0099626D">
      <w:pPr>
        <w:spacing w:line="240" w:lineRule="auto"/>
        <w:jc w:val="both"/>
        <w:rPr>
          <w:rFonts w:ascii="Titillium Web" w:hAnsi="Titillium Web"/>
          <w:highlight w:val="yellow"/>
        </w:rPr>
      </w:pPr>
      <w:r w:rsidRPr="00B227FB">
        <w:rPr>
          <w:rFonts w:ascii="Titillium Web" w:hAnsi="Titillium Web"/>
        </w:rPr>
        <w:t xml:space="preserve">Per quanto riguarda il mercato del lavoro il quadro è articolato. Nel 2025 il saldo assunzioni/cessazioni nella Provincia è positivo, con </w:t>
      </w:r>
      <w:r w:rsidR="009A4999" w:rsidRPr="00B227FB">
        <w:rPr>
          <w:rFonts w:ascii="Titillium Web" w:hAnsi="Titillium Web"/>
        </w:rPr>
        <w:t xml:space="preserve">49.709 </w:t>
      </w:r>
      <w:r w:rsidRPr="00B227FB">
        <w:rPr>
          <w:rFonts w:ascii="Titillium Web" w:hAnsi="Titillium Web"/>
        </w:rPr>
        <w:t xml:space="preserve">nuove assunzioni e </w:t>
      </w:r>
      <w:r w:rsidR="00B227FB" w:rsidRPr="00B227FB">
        <w:rPr>
          <w:rFonts w:ascii="Titillium Web" w:hAnsi="Titillium Web"/>
        </w:rPr>
        <w:t xml:space="preserve">49.273 </w:t>
      </w:r>
      <w:r w:rsidRPr="00B227FB">
        <w:rPr>
          <w:rFonts w:ascii="Titillium Web" w:hAnsi="Titillium Web"/>
        </w:rPr>
        <w:t xml:space="preserve">cessazioni. </w:t>
      </w:r>
      <w:r w:rsidRPr="001203B7">
        <w:rPr>
          <w:rFonts w:ascii="Titillium Web" w:hAnsi="Titillium Web"/>
        </w:rPr>
        <w:t xml:space="preserve">Più nel dettaglio, rispetto al 2022 sono diminuite </w:t>
      </w:r>
      <w:r w:rsidR="00EA3A3B">
        <w:rPr>
          <w:rFonts w:ascii="Titillium Web" w:hAnsi="Titillium Web"/>
        </w:rPr>
        <w:t xml:space="preserve">sia </w:t>
      </w:r>
      <w:r w:rsidRPr="001203B7">
        <w:rPr>
          <w:rFonts w:ascii="Titillium Web" w:hAnsi="Titillium Web"/>
        </w:rPr>
        <w:t xml:space="preserve">le assunzioni a tempo </w:t>
      </w:r>
      <w:r w:rsidRPr="00C92FAD">
        <w:rPr>
          <w:rFonts w:ascii="Titillium Web" w:hAnsi="Titillium Web"/>
        </w:rPr>
        <w:t>indeterminato, passando da 9</w:t>
      </w:r>
      <w:r w:rsidR="001203B7" w:rsidRPr="00C92FAD">
        <w:rPr>
          <w:rFonts w:ascii="Titillium Web" w:hAnsi="Titillium Web"/>
        </w:rPr>
        <w:t>.5</w:t>
      </w:r>
      <w:r w:rsidRPr="00C92FAD">
        <w:rPr>
          <w:rFonts w:ascii="Titillium Web" w:hAnsi="Titillium Web"/>
        </w:rPr>
        <w:t>3</w:t>
      </w:r>
      <w:r w:rsidR="001203B7" w:rsidRPr="00C92FAD">
        <w:rPr>
          <w:rFonts w:ascii="Titillium Web" w:hAnsi="Titillium Web"/>
        </w:rPr>
        <w:t>5</w:t>
      </w:r>
      <w:r w:rsidRPr="00C92FAD">
        <w:rPr>
          <w:rFonts w:ascii="Titillium Web" w:hAnsi="Titillium Web"/>
        </w:rPr>
        <w:t xml:space="preserve"> nel 2022 a 7.</w:t>
      </w:r>
      <w:r w:rsidR="001203B7" w:rsidRPr="00C92FAD">
        <w:rPr>
          <w:rFonts w:ascii="Titillium Web" w:hAnsi="Titillium Web"/>
        </w:rPr>
        <w:t>417</w:t>
      </w:r>
      <w:r w:rsidRPr="00C92FAD">
        <w:rPr>
          <w:rFonts w:ascii="Titillium Web" w:hAnsi="Titillium Web"/>
        </w:rPr>
        <w:t xml:space="preserve"> nel 2025, </w:t>
      </w:r>
      <w:r w:rsidR="00EA3A3B" w:rsidRPr="00C92FAD">
        <w:rPr>
          <w:rFonts w:ascii="Titillium Web" w:hAnsi="Titillium Web"/>
        </w:rPr>
        <w:t>sia</w:t>
      </w:r>
      <w:r w:rsidRPr="00C92FAD">
        <w:rPr>
          <w:rFonts w:ascii="Titillium Web" w:hAnsi="Titillium Web"/>
        </w:rPr>
        <w:t xml:space="preserve"> </w:t>
      </w:r>
      <w:r w:rsidRPr="00500C76">
        <w:rPr>
          <w:rFonts w:ascii="Titillium Web" w:hAnsi="Titillium Web"/>
        </w:rPr>
        <w:t>quelle con contratti a termine, ch</w:t>
      </w:r>
      <w:r w:rsidRPr="001449BA">
        <w:rPr>
          <w:rFonts w:ascii="Titillium Web" w:hAnsi="Titillium Web"/>
        </w:rPr>
        <w:t xml:space="preserve">e passano da </w:t>
      </w:r>
      <w:r w:rsidR="00EA3A3B" w:rsidRPr="001449BA">
        <w:rPr>
          <w:rFonts w:ascii="Titillium Web" w:hAnsi="Titillium Web"/>
        </w:rPr>
        <w:t xml:space="preserve">43.899 </w:t>
      </w:r>
      <w:r w:rsidRPr="001449BA">
        <w:rPr>
          <w:rFonts w:ascii="Titillium Web" w:hAnsi="Titillium Web"/>
        </w:rPr>
        <w:t xml:space="preserve">nel 2022 a </w:t>
      </w:r>
      <w:r w:rsidR="007A6B58" w:rsidRPr="001449BA">
        <w:rPr>
          <w:rFonts w:ascii="Titillium Web" w:hAnsi="Titillium Web"/>
        </w:rPr>
        <w:t xml:space="preserve">42.292 </w:t>
      </w:r>
      <w:r w:rsidRPr="001449BA">
        <w:rPr>
          <w:rFonts w:ascii="Titillium Web" w:hAnsi="Titillium Web"/>
        </w:rPr>
        <w:t xml:space="preserve">nel 2025. Calano le assunzioni con contratto a tempo parziale che nel 2025 risultano pari a </w:t>
      </w:r>
      <w:r w:rsidR="00D77626" w:rsidRPr="001449BA">
        <w:rPr>
          <w:rFonts w:ascii="Titillium Web" w:hAnsi="Titillium Web"/>
        </w:rPr>
        <w:t>16.397</w:t>
      </w:r>
      <w:r w:rsidRPr="001449BA">
        <w:rPr>
          <w:rFonts w:ascii="Titillium Web" w:hAnsi="Titillium Web"/>
        </w:rPr>
        <w:t xml:space="preserve">. Il tasso di occupazione è in </w:t>
      </w:r>
      <w:r w:rsidR="00C92FAD" w:rsidRPr="001449BA">
        <w:rPr>
          <w:rFonts w:ascii="Titillium Web" w:hAnsi="Titillium Web"/>
        </w:rPr>
        <w:t>calo</w:t>
      </w:r>
      <w:r w:rsidRPr="001449BA">
        <w:rPr>
          <w:rFonts w:ascii="Titillium Web" w:hAnsi="Titillium Web"/>
        </w:rPr>
        <w:t xml:space="preserve">, passando da </w:t>
      </w:r>
      <w:r w:rsidR="00C92FAD" w:rsidRPr="001449BA">
        <w:rPr>
          <w:rFonts w:ascii="Titillium Web" w:hAnsi="Titillium Web"/>
        </w:rPr>
        <w:t>69,6</w:t>
      </w:r>
      <w:r w:rsidRPr="001449BA">
        <w:rPr>
          <w:rFonts w:ascii="Titillium Web" w:hAnsi="Titillium Web"/>
        </w:rPr>
        <w:t>% nel 2022 a 68</w:t>
      </w:r>
      <w:r w:rsidR="00C92FAD" w:rsidRPr="001449BA">
        <w:rPr>
          <w:rFonts w:ascii="Titillium Web" w:hAnsi="Titillium Web"/>
        </w:rPr>
        <w:t>,7</w:t>
      </w:r>
      <w:r w:rsidRPr="001449BA">
        <w:rPr>
          <w:rFonts w:ascii="Titillium Web" w:hAnsi="Titillium Web"/>
        </w:rPr>
        <w:t xml:space="preserve">% nel 2025, </w:t>
      </w:r>
      <w:r w:rsidR="00C92FAD" w:rsidRPr="001449BA">
        <w:rPr>
          <w:rFonts w:ascii="Titillium Web" w:hAnsi="Titillium Web"/>
        </w:rPr>
        <w:t>così come</w:t>
      </w:r>
      <w:r w:rsidRPr="001449BA">
        <w:rPr>
          <w:rFonts w:ascii="Titillium Web" w:hAnsi="Titillium Web"/>
        </w:rPr>
        <w:t xml:space="preserve"> cala la disoccupazione che passa da </w:t>
      </w:r>
      <w:r w:rsidR="00C92FAD" w:rsidRPr="001449BA">
        <w:rPr>
          <w:rFonts w:ascii="Titillium Web" w:hAnsi="Titillium Web"/>
        </w:rPr>
        <w:t>4,9</w:t>
      </w:r>
      <w:r w:rsidRPr="001449BA">
        <w:rPr>
          <w:rFonts w:ascii="Titillium Web" w:hAnsi="Titillium Web"/>
        </w:rPr>
        <w:t xml:space="preserve">% nel 2022 a </w:t>
      </w:r>
      <w:r w:rsidR="00C92FAD" w:rsidRPr="001449BA">
        <w:rPr>
          <w:rFonts w:ascii="Titillium Web" w:hAnsi="Titillium Web"/>
        </w:rPr>
        <w:t>4,1</w:t>
      </w:r>
      <w:r w:rsidRPr="001449BA">
        <w:rPr>
          <w:rFonts w:ascii="Titillium Web" w:hAnsi="Titillium Web"/>
        </w:rPr>
        <w:t xml:space="preserve">% nel 2025. La percentuale degli inattivi risulta in </w:t>
      </w:r>
      <w:r w:rsidR="004A6586">
        <w:rPr>
          <w:rFonts w:ascii="Titillium Web" w:hAnsi="Titillium Web"/>
        </w:rPr>
        <w:t>crescita</w:t>
      </w:r>
      <w:r w:rsidRPr="001449BA">
        <w:rPr>
          <w:rFonts w:ascii="Titillium Web" w:hAnsi="Titillium Web"/>
        </w:rPr>
        <w:t xml:space="preserve">, passando dal </w:t>
      </w:r>
      <w:r w:rsidR="00500C76" w:rsidRPr="001449BA">
        <w:rPr>
          <w:rFonts w:ascii="Titillium Web" w:hAnsi="Titillium Web"/>
        </w:rPr>
        <w:t>26</w:t>
      </w:r>
      <w:r w:rsidRPr="001449BA">
        <w:rPr>
          <w:rFonts w:ascii="Titillium Web" w:hAnsi="Titillium Web"/>
        </w:rPr>
        <w:t>,</w:t>
      </w:r>
      <w:r w:rsidR="00500C76" w:rsidRPr="001449BA">
        <w:rPr>
          <w:rFonts w:ascii="Titillium Web" w:hAnsi="Titillium Web"/>
        </w:rPr>
        <w:t>8</w:t>
      </w:r>
      <w:r w:rsidRPr="001449BA">
        <w:rPr>
          <w:rFonts w:ascii="Titillium Web" w:hAnsi="Titillium Web"/>
        </w:rPr>
        <w:t>% nel 2022 al 28,</w:t>
      </w:r>
      <w:r w:rsidR="00500C76" w:rsidRPr="001449BA">
        <w:rPr>
          <w:rFonts w:ascii="Titillium Web" w:hAnsi="Titillium Web"/>
        </w:rPr>
        <w:t>3</w:t>
      </w:r>
      <w:r w:rsidRPr="001449BA">
        <w:rPr>
          <w:rFonts w:ascii="Titillium Web" w:hAnsi="Titillium Web"/>
        </w:rPr>
        <w:t xml:space="preserve">% nel 2025, inferiore alla media regionale (28,7%) e a quella nazionale (33,3%). In aumento il ricorso alle prestazioni di disoccupazione per cessazione dei rapporti di lavoro che passano da </w:t>
      </w:r>
      <w:r w:rsidR="005E3A79" w:rsidRPr="001449BA">
        <w:rPr>
          <w:rFonts w:ascii="Titillium Web" w:hAnsi="Titillium Web"/>
        </w:rPr>
        <w:t xml:space="preserve">20.144 </w:t>
      </w:r>
      <w:r w:rsidRPr="001449BA">
        <w:rPr>
          <w:rFonts w:ascii="Titillium Web" w:hAnsi="Titillium Web"/>
        </w:rPr>
        <w:t xml:space="preserve">nel 2022 a </w:t>
      </w:r>
      <w:r w:rsidR="00856679" w:rsidRPr="001449BA">
        <w:rPr>
          <w:rFonts w:ascii="Titillium Web" w:hAnsi="Titillium Web"/>
        </w:rPr>
        <w:t xml:space="preserve">22.052 </w:t>
      </w:r>
      <w:r w:rsidRPr="001449BA">
        <w:rPr>
          <w:rFonts w:ascii="Titillium Web" w:hAnsi="Titillium Web"/>
        </w:rPr>
        <w:t xml:space="preserve">nel 2025, così come il ricorso alla Cassa Integrazione Guadagni, che passa da </w:t>
      </w:r>
      <w:r w:rsidR="001449BA" w:rsidRPr="001449BA">
        <w:rPr>
          <w:rFonts w:ascii="Titillium Web" w:hAnsi="Titillium Web"/>
        </w:rPr>
        <w:t xml:space="preserve">582.090 </w:t>
      </w:r>
      <w:r w:rsidRPr="001449BA">
        <w:rPr>
          <w:rFonts w:ascii="Titillium Web" w:hAnsi="Titillium Web"/>
        </w:rPr>
        <w:t xml:space="preserve">ore del 2022 </w:t>
      </w:r>
      <w:r w:rsidR="00806AFF" w:rsidRPr="001449BA">
        <w:rPr>
          <w:rFonts w:ascii="Titillium Web" w:hAnsi="Titillium Web"/>
        </w:rPr>
        <w:t>a 1.145.769</w:t>
      </w:r>
      <w:r w:rsidRPr="001449BA">
        <w:rPr>
          <w:rFonts w:ascii="Titillium Web" w:hAnsi="Titillium Web"/>
        </w:rPr>
        <w:t xml:space="preserve"> ore nel 2025. Complessivamente, i beneficiari di ammortizzatori sociali per sospensione del lavoro passano dai </w:t>
      </w:r>
      <w:r w:rsidR="001449BA" w:rsidRPr="001449BA">
        <w:rPr>
          <w:rFonts w:ascii="Titillium Web" w:hAnsi="Titillium Web"/>
        </w:rPr>
        <w:t>5</w:t>
      </w:r>
      <w:r w:rsidRPr="001449BA">
        <w:rPr>
          <w:rFonts w:ascii="Titillium Web" w:hAnsi="Titillium Web"/>
        </w:rPr>
        <w:t>.</w:t>
      </w:r>
      <w:r w:rsidR="001449BA" w:rsidRPr="001449BA">
        <w:rPr>
          <w:rFonts w:ascii="Titillium Web" w:hAnsi="Titillium Web"/>
        </w:rPr>
        <w:t>891</w:t>
      </w:r>
      <w:r w:rsidRPr="001449BA">
        <w:rPr>
          <w:rFonts w:ascii="Titillium Web" w:hAnsi="Titillium Web"/>
        </w:rPr>
        <w:t xml:space="preserve"> del 2022 ai </w:t>
      </w:r>
      <w:r w:rsidR="001449BA" w:rsidRPr="001449BA">
        <w:rPr>
          <w:rFonts w:ascii="Titillium Web" w:hAnsi="Titillium Web"/>
        </w:rPr>
        <w:t>8</w:t>
      </w:r>
      <w:r w:rsidRPr="001449BA">
        <w:rPr>
          <w:rFonts w:ascii="Titillium Web" w:hAnsi="Titillium Web"/>
        </w:rPr>
        <w:t>.</w:t>
      </w:r>
      <w:r w:rsidR="001449BA" w:rsidRPr="001449BA">
        <w:rPr>
          <w:rFonts w:ascii="Titillium Web" w:hAnsi="Titillium Web"/>
        </w:rPr>
        <w:t>818</w:t>
      </w:r>
      <w:r w:rsidRPr="001449BA">
        <w:rPr>
          <w:rFonts w:ascii="Titillium Web" w:hAnsi="Titillium Web"/>
        </w:rPr>
        <w:t xml:space="preserve"> del 2025.</w:t>
      </w:r>
    </w:p>
    <w:p w14:paraId="23C58761" w14:textId="18A38F9F" w:rsidR="0099626D" w:rsidRPr="006501C9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6501C9">
        <w:rPr>
          <w:rFonts w:ascii="Titillium Web" w:hAnsi="Titillium Web"/>
        </w:rPr>
        <w:t xml:space="preserve">La retribuzione dei lavoratori nel settore privato è pari a </w:t>
      </w:r>
      <w:r w:rsidR="006501C9" w:rsidRPr="006501C9">
        <w:rPr>
          <w:rFonts w:ascii="Titillium Web" w:hAnsi="Titillium Web"/>
        </w:rPr>
        <w:t>103</w:t>
      </w:r>
      <w:r w:rsidR="0063159C">
        <w:rPr>
          <w:rFonts w:ascii="Titillium Web" w:hAnsi="Titillium Web"/>
        </w:rPr>
        <w:t>,0</w:t>
      </w:r>
      <w:r w:rsidRPr="006501C9">
        <w:rPr>
          <w:rFonts w:ascii="Titillium Web" w:hAnsi="Titillium Web"/>
        </w:rPr>
        <w:t xml:space="preserve"> euro medi giornalieri per i maschi, inferiore alla media nazionale, che è pari a 111,1 euro, ed a 73,</w:t>
      </w:r>
      <w:r w:rsidR="006501C9" w:rsidRPr="006501C9">
        <w:rPr>
          <w:rFonts w:ascii="Titillium Web" w:hAnsi="Titillium Web"/>
        </w:rPr>
        <w:t xml:space="preserve">6 </w:t>
      </w:r>
      <w:r w:rsidRPr="006501C9">
        <w:rPr>
          <w:rFonts w:ascii="Titillium Web" w:hAnsi="Titillium Web"/>
        </w:rPr>
        <w:t>per le femmine, anch’essa minore rispetto a quella nazionale, che è di 82,6 euro.</w:t>
      </w:r>
    </w:p>
    <w:p w14:paraId="6BE76861" w14:textId="333FF7D6" w:rsidR="0099626D" w:rsidRPr="00DC4582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FF7F0D">
        <w:rPr>
          <w:rFonts w:ascii="Titillium Web" w:hAnsi="Titillium Web"/>
        </w:rPr>
        <w:t xml:space="preserve">I pensionati della Provincia sono </w:t>
      </w:r>
      <w:r w:rsidR="003240A9" w:rsidRPr="00FF7F0D">
        <w:rPr>
          <w:rFonts w:ascii="Titillium Web" w:hAnsi="Titillium Web"/>
        </w:rPr>
        <w:t>99.246</w:t>
      </w:r>
      <w:r w:rsidRPr="00FF7F0D">
        <w:rPr>
          <w:rFonts w:ascii="Titillium Web" w:hAnsi="Titillium Web"/>
        </w:rPr>
        <w:t xml:space="preserve">, di cui </w:t>
      </w:r>
      <w:r w:rsidR="002A38DE" w:rsidRPr="00FF7F0D">
        <w:rPr>
          <w:rFonts w:ascii="Titillium Web" w:hAnsi="Titillium Web"/>
        </w:rPr>
        <w:t xml:space="preserve">47.997 </w:t>
      </w:r>
      <w:r w:rsidRPr="00FF7F0D">
        <w:rPr>
          <w:rFonts w:ascii="Titillium Web" w:hAnsi="Titillium Web"/>
        </w:rPr>
        <w:t xml:space="preserve">maschi e </w:t>
      </w:r>
      <w:r w:rsidR="003822A1" w:rsidRPr="00FF7F0D">
        <w:rPr>
          <w:rFonts w:ascii="Titillium Web" w:hAnsi="Titillium Web"/>
        </w:rPr>
        <w:t>51.249</w:t>
      </w:r>
      <w:r w:rsidRPr="00FF7F0D">
        <w:rPr>
          <w:rFonts w:ascii="Titillium Web" w:hAnsi="Titillium Web"/>
        </w:rPr>
        <w:t xml:space="preserve"> fem</w:t>
      </w:r>
      <w:r w:rsidRPr="00DC4582">
        <w:rPr>
          <w:rFonts w:ascii="Titillium Web" w:hAnsi="Titillium Web"/>
        </w:rPr>
        <w:t xml:space="preserve">mine. I titolari di assegno sociale sono </w:t>
      </w:r>
      <w:r w:rsidR="007B0779" w:rsidRPr="00DC4582">
        <w:rPr>
          <w:rFonts w:ascii="Titillium Web" w:hAnsi="Titillium Web"/>
        </w:rPr>
        <w:t xml:space="preserve">4.234 </w:t>
      </w:r>
      <w:r w:rsidRPr="00DC4582">
        <w:rPr>
          <w:rFonts w:ascii="Titillium Web" w:hAnsi="Titillium Web"/>
        </w:rPr>
        <w:t xml:space="preserve">e i titolari di assegno di accompagnamento e pensione invalidità civile sono </w:t>
      </w:r>
      <w:r w:rsidR="00FF7F0D" w:rsidRPr="00DC4582">
        <w:rPr>
          <w:rFonts w:ascii="Titillium Web" w:hAnsi="Titillium Web"/>
        </w:rPr>
        <w:t>19.666</w:t>
      </w:r>
      <w:r w:rsidRPr="00DC4582">
        <w:rPr>
          <w:rFonts w:ascii="Titillium Web" w:hAnsi="Titillium Web"/>
        </w:rPr>
        <w:t>.</w:t>
      </w:r>
    </w:p>
    <w:p w14:paraId="279C50C5" w14:textId="77777777" w:rsidR="0099626D" w:rsidRPr="008730F8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DC4582">
        <w:rPr>
          <w:rFonts w:ascii="Titillium Web" w:hAnsi="Titillium Web"/>
        </w:rPr>
        <w:t xml:space="preserve">L’importo medio delle vigenti presenta un </w:t>
      </w:r>
      <w:r w:rsidRPr="008730F8">
        <w:rPr>
          <w:rFonts w:ascii="Titillium Web" w:hAnsi="Titillium Web"/>
        </w:rPr>
        <w:t>andamento con importi provinciali inferiori alla media nazionale per le femmine e per i maschi per la gestione fondo pensioni lavoratori dipendenti.</w:t>
      </w:r>
    </w:p>
    <w:p w14:paraId="32D34F0A" w14:textId="3FD8D93D" w:rsidR="0099626D" w:rsidRPr="005D55F0" w:rsidRDefault="0099626D" w:rsidP="0099626D">
      <w:pPr>
        <w:spacing w:line="240" w:lineRule="auto"/>
        <w:jc w:val="both"/>
        <w:rPr>
          <w:rFonts w:ascii="Titillium Web" w:hAnsi="Titillium Web"/>
          <w:highlight w:val="yellow"/>
        </w:rPr>
      </w:pPr>
      <w:r w:rsidRPr="008730F8">
        <w:rPr>
          <w:rFonts w:ascii="Titillium Web" w:hAnsi="Titillium Web"/>
        </w:rPr>
        <w:t xml:space="preserve">Nel 2025, nella Provincia di </w:t>
      </w:r>
      <w:r w:rsidR="00FD2588" w:rsidRPr="008730F8">
        <w:rPr>
          <w:rFonts w:ascii="Titillium Web" w:hAnsi="Titillium Web"/>
        </w:rPr>
        <w:t>Pesaro e Urbino</w:t>
      </w:r>
      <w:r w:rsidRPr="008730F8">
        <w:rPr>
          <w:rFonts w:ascii="Titillium Web" w:hAnsi="Titillium Web"/>
        </w:rPr>
        <w:t xml:space="preserve"> sono state liquidate 5.</w:t>
      </w:r>
      <w:r w:rsidR="008730F8" w:rsidRPr="008730F8">
        <w:rPr>
          <w:rFonts w:ascii="Titillium Web" w:hAnsi="Titillium Web"/>
        </w:rPr>
        <w:t>751</w:t>
      </w:r>
      <w:r w:rsidRPr="008730F8">
        <w:rPr>
          <w:rFonts w:ascii="Titillium Web" w:hAnsi="Titillium Web"/>
        </w:rPr>
        <w:t xml:space="preserve"> pensioni previd</w:t>
      </w:r>
      <w:r w:rsidRPr="00EC4AB5">
        <w:rPr>
          <w:rFonts w:ascii="Titillium Web" w:hAnsi="Titillium Web"/>
        </w:rPr>
        <w:t xml:space="preserve">enziali, in </w:t>
      </w:r>
      <w:r w:rsidR="003764EE">
        <w:rPr>
          <w:rFonts w:ascii="Titillium Web" w:hAnsi="Titillium Web"/>
        </w:rPr>
        <w:t xml:space="preserve">calo </w:t>
      </w:r>
      <w:r w:rsidRPr="00EC4AB5">
        <w:rPr>
          <w:rFonts w:ascii="Titillium Web" w:hAnsi="Titillium Web"/>
        </w:rPr>
        <w:t>rispetto al dato registrato nel 2022 (</w:t>
      </w:r>
      <w:r w:rsidR="008730F8" w:rsidRPr="00EC4AB5">
        <w:rPr>
          <w:rFonts w:ascii="Titillium Web" w:hAnsi="Titillium Web"/>
        </w:rPr>
        <w:t>6.030</w:t>
      </w:r>
      <w:r w:rsidRPr="00EC4AB5">
        <w:rPr>
          <w:rFonts w:ascii="Titillium Web" w:hAnsi="Titillium Web"/>
        </w:rPr>
        <w:t xml:space="preserve">). Le prestazioni pensionistiche assistenziali vigenti nel 2025 sono state </w:t>
      </w:r>
      <w:r w:rsidR="00AE4A09" w:rsidRPr="00EC4AB5">
        <w:rPr>
          <w:rFonts w:ascii="Titillium Web" w:hAnsi="Titillium Web"/>
        </w:rPr>
        <w:t>16.</w:t>
      </w:r>
      <w:r w:rsidR="00EC4AB5" w:rsidRPr="00EC4AB5">
        <w:rPr>
          <w:rFonts w:ascii="Titillium Web" w:hAnsi="Titillium Web"/>
        </w:rPr>
        <w:t>524</w:t>
      </w:r>
      <w:r w:rsidRPr="00EC4AB5">
        <w:rPr>
          <w:rFonts w:ascii="Titillium Web" w:hAnsi="Titillium Web"/>
        </w:rPr>
        <w:t xml:space="preserve"> indennità di accompagnamento e </w:t>
      </w:r>
      <w:r w:rsidR="00EC4AB5" w:rsidRPr="00EC4AB5">
        <w:rPr>
          <w:rFonts w:ascii="Titillium Web" w:hAnsi="Titillium Web"/>
        </w:rPr>
        <w:t>5</w:t>
      </w:r>
      <w:r w:rsidRPr="00EC4AB5">
        <w:rPr>
          <w:rFonts w:ascii="Titillium Web" w:hAnsi="Titillium Web"/>
        </w:rPr>
        <w:t>.</w:t>
      </w:r>
      <w:r w:rsidR="00EC4AB5" w:rsidRPr="00EC4AB5">
        <w:rPr>
          <w:rFonts w:ascii="Titillium Web" w:hAnsi="Titillium Web"/>
        </w:rPr>
        <w:t>760</w:t>
      </w:r>
      <w:r w:rsidRPr="00EC4AB5">
        <w:rPr>
          <w:rFonts w:ascii="Titillium Web" w:hAnsi="Titillium Web"/>
        </w:rPr>
        <w:t xml:space="preserve"> prestazioni di invalidità civile.</w:t>
      </w:r>
    </w:p>
    <w:p w14:paraId="6F8BF252" w14:textId="504103F3" w:rsidR="0099626D" w:rsidRPr="00AE4A09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AE4A09">
        <w:rPr>
          <w:rFonts w:ascii="Titillium Web" w:hAnsi="Titillium Web"/>
        </w:rPr>
        <w:t xml:space="preserve">Per quanto concerne le pensioni anticipate, si riduce sia il numero dei beneficiari di opzione donna sia quello delle quote (da ultimo Quota 103 con il ricalcolo contributivo). </w:t>
      </w:r>
    </w:p>
    <w:p w14:paraId="66DC1CC3" w14:textId="53F57E79" w:rsidR="0099626D" w:rsidRPr="00CF7502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CF7502">
        <w:rPr>
          <w:rFonts w:ascii="Titillium Web" w:hAnsi="Titillium Web"/>
        </w:rPr>
        <w:t>Nel corso del 2025 sono state accolte 1.55</w:t>
      </w:r>
      <w:r w:rsidR="00CF7502" w:rsidRPr="00CF7502">
        <w:rPr>
          <w:rFonts w:ascii="Titillium Web" w:hAnsi="Titillium Web"/>
        </w:rPr>
        <w:t>7</w:t>
      </w:r>
      <w:r w:rsidRPr="00CF7502">
        <w:rPr>
          <w:rFonts w:ascii="Titillium Web" w:hAnsi="Titillium Web"/>
        </w:rPr>
        <w:t xml:space="preserve"> domande di Assegno di Inclusione e 1</w:t>
      </w:r>
      <w:r w:rsidR="00CF7502" w:rsidRPr="00CF7502">
        <w:rPr>
          <w:rFonts w:ascii="Titillium Web" w:hAnsi="Titillium Web"/>
        </w:rPr>
        <w:t>4</w:t>
      </w:r>
      <w:r w:rsidRPr="00CF7502">
        <w:rPr>
          <w:rFonts w:ascii="Titillium Web" w:hAnsi="Titillium Web"/>
        </w:rPr>
        <w:t>9 domande di Sostegno per la Formazione ed il Lavoro, in confronto al numero di prestazioni per reddito e pensione di cittadinanza erogati nel 2022, pari a 2.2</w:t>
      </w:r>
      <w:r w:rsidR="00CF7502">
        <w:rPr>
          <w:rFonts w:ascii="Titillium Web" w:hAnsi="Titillium Web"/>
        </w:rPr>
        <w:t>99</w:t>
      </w:r>
      <w:r w:rsidRPr="00CF7502">
        <w:rPr>
          <w:rFonts w:ascii="Titillium Web" w:hAnsi="Titillium Web"/>
        </w:rPr>
        <w:t>.</w:t>
      </w:r>
    </w:p>
    <w:p w14:paraId="2548511D" w14:textId="4D433CF6" w:rsidR="0099626D" w:rsidRPr="00CF7502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CF7502">
        <w:rPr>
          <w:rFonts w:ascii="Titillium Web" w:hAnsi="Titillium Web"/>
        </w:rPr>
        <w:t xml:space="preserve">I dati del Rendiconto confermano una perdurante disparità di genere anche nella Provincia di </w:t>
      </w:r>
      <w:r w:rsidR="00FD2588" w:rsidRPr="00CF7502">
        <w:rPr>
          <w:rFonts w:ascii="Titillium Web" w:hAnsi="Titillium Web"/>
        </w:rPr>
        <w:t>Pesaro e Urbino</w:t>
      </w:r>
      <w:r w:rsidRPr="00CF7502">
        <w:rPr>
          <w:rFonts w:ascii="Titillium Web" w:hAnsi="Titillium Web"/>
        </w:rPr>
        <w:t xml:space="preserve">, in particolare per quanto attiene i livelli occupazionali, che vedono per le donne un minor numero </w:t>
      </w:r>
      <w:r w:rsidRPr="00CF7502">
        <w:rPr>
          <w:rFonts w:ascii="Titillium Web" w:hAnsi="Titillium Web"/>
        </w:rPr>
        <w:lastRenderedPageBreak/>
        <w:t>di assunzioni sia a tempo indeterminato che a tempo determinato. Lo stesso scenario si evince relativamente ai livelli retributivi.</w:t>
      </w:r>
    </w:p>
    <w:p w14:paraId="625C8B11" w14:textId="0B90EF95" w:rsidR="0099626D" w:rsidRPr="00205C67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1943B4">
        <w:rPr>
          <w:rFonts w:ascii="Titillium Web" w:hAnsi="Titillium Web"/>
        </w:rPr>
        <w:t>Sul fronte delle entrate contributive, nel 2025 si registra un incremento, pari al 17,</w:t>
      </w:r>
      <w:r w:rsidR="001943B4" w:rsidRPr="001943B4">
        <w:rPr>
          <w:rFonts w:ascii="Titillium Web" w:hAnsi="Titillium Web"/>
        </w:rPr>
        <w:t>1</w:t>
      </w:r>
      <w:r w:rsidRPr="001943B4">
        <w:rPr>
          <w:rFonts w:ascii="Titillium Web" w:hAnsi="Titillium Web"/>
        </w:rPr>
        <w:t>%, rispetto all’anno precedente, maggiore</w:t>
      </w:r>
      <w:r w:rsidR="001943B4" w:rsidRPr="001943B4">
        <w:rPr>
          <w:rFonts w:ascii="Titillium Web" w:hAnsi="Titillium Web"/>
        </w:rPr>
        <w:t xml:space="preserve"> rispetto</w:t>
      </w:r>
      <w:r w:rsidRPr="001943B4">
        <w:rPr>
          <w:rFonts w:ascii="Titillium Web" w:hAnsi="Titillium Web"/>
        </w:rPr>
        <w:t xml:space="preserve"> al dato nazionale, che è </w:t>
      </w:r>
      <w:r w:rsidRPr="00205C67">
        <w:rPr>
          <w:rFonts w:ascii="Titillium Web" w:hAnsi="Titillium Web"/>
        </w:rPr>
        <w:t>pari al 15%.</w:t>
      </w:r>
    </w:p>
    <w:p w14:paraId="134FFA99" w14:textId="59C31819" w:rsidR="0099626D" w:rsidRPr="00205C67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205C67">
        <w:rPr>
          <w:rFonts w:ascii="Titillium Web" w:hAnsi="Titillium Web"/>
        </w:rPr>
        <w:t xml:space="preserve">Per quanto riguarda le riscossioni da recupero crediti in fase amministrativa da aziende con dipendenti si evince un aumento rispetto al dato registrato nel 2022, passando da </w:t>
      </w:r>
      <w:r w:rsidR="00F4504F" w:rsidRPr="00205C67">
        <w:rPr>
          <w:rFonts w:ascii="Titillium Web" w:hAnsi="Titillium Web"/>
        </w:rPr>
        <w:t xml:space="preserve">50.333.324,69 </w:t>
      </w:r>
      <w:r w:rsidRPr="00205C67">
        <w:rPr>
          <w:rFonts w:ascii="Titillium Web" w:hAnsi="Titillium Web"/>
        </w:rPr>
        <w:t xml:space="preserve">nel 2022 a </w:t>
      </w:r>
      <w:r w:rsidR="00BE3702" w:rsidRPr="00205C67">
        <w:rPr>
          <w:rFonts w:ascii="Titillium Web" w:hAnsi="Titillium Web"/>
        </w:rPr>
        <w:t xml:space="preserve">58.551.088,93 </w:t>
      </w:r>
      <w:r w:rsidRPr="00205C67">
        <w:rPr>
          <w:rFonts w:ascii="Titillium Web" w:hAnsi="Titillium Web"/>
        </w:rPr>
        <w:t>nel 2025. Il dato relativo alla riscossione coattiva (attraverso l’Agenzia delle Entrate) risulta maggiore rispetto al 2022, passando da 1</w:t>
      </w:r>
      <w:r w:rsidR="00BE3702" w:rsidRPr="00205C67">
        <w:rPr>
          <w:rFonts w:ascii="Titillium Web" w:hAnsi="Titillium Web"/>
        </w:rPr>
        <w:t>4</w:t>
      </w:r>
      <w:r w:rsidRPr="00205C67">
        <w:rPr>
          <w:rFonts w:ascii="Titillium Web" w:hAnsi="Titillium Web"/>
        </w:rPr>
        <w:t>,</w:t>
      </w:r>
      <w:r w:rsidR="00BE3702" w:rsidRPr="00205C67">
        <w:rPr>
          <w:rFonts w:ascii="Titillium Web" w:hAnsi="Titillium Web"/>
        </w:rPr>
        <w:t>6</w:t>
      </w:r>
      <w:r w:rsidRPr="00205C67">
        <w:rPr>
          <w:rFonts w:ascii="Titillium Web" w:hAnsi="Titillium Web"/>
        </w:rPr>
        <w:t xml:space="preserve"> milioni a </w:t>
      </w:r>
      <w:r w:rsidR="00BE3702" w:rsidRPr="00205C67">
        <w:rPr>
          <w:rFonts w:ascii="Titillium Web" w:hAnsi="Titillium Web"/>
        </w:rPr>
        <w:t>20,3</w:t>
      </w:r>
      <w:r w:rsidRPr="00205C67">
        <w:rPr>
          <w:rFonts w:ascii="Titillium Web" w:hAnsi="Titillium Web"/>
        </w:rPr>
        <w:t xml:space="preserve"> milioni.</w:t>
      </w:r>
    </w:p>
    <w:p w14:paraId="7E4D76E0" w14:textId="50DCE958" w:rsidR="0099626D" w:rsidRPr="00205C67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205C67">
        <w:rPr>
          <w:rFonts w:ascii="Titillium Web" w:hAnsi="Titillium Web"/>
        </w:rPr>
        <w:t xml:space="preserve">Il numero delle ispezioni effettuate dall’Inps nella Provincia è in calo: passa da </w:t>
      </w:r>
      <w:r w:rsidR="00205C67" w:rsidRPr="00205C67">
        <w:rPr>
          <w:rFonts w:ascii="Titillium Web" w:hAnsi="Titillium Web"/>
        </w:rPr>
        <w:t>185</w:t>
      </w:r>
      <w:r w:rsidRPr="00205C67">
        <w:rPr>
          <w:rFonts w:ascii="Titillium Web" w:hAnsi="Titillium Web"/>
        </w:rPr>
        <w:t xml:space="preserve"> nel 2024 a </w:t>
      </w:r>
      <w:r w:rsidR="00205C67" w:rsidRPr="00205C67">
        <w:rPr>
          <w:rFonts w:ascii="Titillium Web" w:hAnsi="Titillium Web"/>
        </w:rPr>
        <w:t>153</w:t>
      </w:r>
      <w:r w:rsidRPr="00205C67">
        <w:rPr>
          <w:rFonts w:ascii="Titillium Web" w:hAnsi="Titillium Web"/>
        </w:rPr>
        <w:t xml:space="preserve"> del 2025.</w:t>
      </w:r>
    </w:p>
    <w:p w14:paraId="7CD67186" w14:textId="3C161C64" w:rsidR="0099626D" w:rsidRPr="00CF7502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CF7502">
        <w:rPr>
          <w:rFonts w:ascii="Titillium Web" w:hAnsi="Titillium Web"/>
        </w:rPr>
        <w:t>Diminuisce, rispetto all'anno precedente, la percentuale di DURC irregolari, pari a 8,</w:t>
      </w:r>
      <w:r w:rsidR="00205C67" w:rsidRPr="00CF7502">
        <w:rPr>
          <w:rFonts w:ascii="Titillium Web" w:hAnsi="Titillium Web"/>
        </w:rPr>
        <w:t>5</w:t>
      </w:r>
      <w:r w:rsidRPr="00CF7502">
        <w:rPr>
          <w:rFonts w:ascii="Titillium Web" w:hAnsi="Titillium Web"/>
        </w:rPr>
        <w:t>%, inferiore rispetto al dato nazionale, pari a 14,3%.</w:t>
      </w:r>
    </w:p>
    <w:p w14:paraId="49E28EDB" w14:textId="64306C04" w:rsidR="00A306FF" w:rsidRPr="00C21FA0" w:rsidRDefault="0099626D" w:rsidP="0099626D">
      <w:pPr>
        <w:spacing w:line="240" w:lineRule="auto"/>
        <w:jc w:val="both"/>
        <w:rPr>
          <w:rFonts w:ascii="Titillium Web" w:hAnsi="Titillium Web"/>
        </w:rPr>
      </w:pPr>
      <w:r w:rsidRPr="00CF7502">
        <w:rPr>
          <w:rFonts w:ascii="Titillium Web" w:hAnsi="Titillium Web"/>
        </w:rPr>
        <w:t xml:space="preserve">Complessivamente, i dati che riguardano la qualità del servizio dell’Istituto nella Provincia di </w:t>
      </w:r>
      <w:r w:rsidR="00FD2588" w:rsidRPr="00CF7502">
        <w:rPr>
          <w:rFonts w:ascii="Titillium Web" w:hAnsi="Titillium Web"/>
        </w:rPr>
        <w:t>Pesaro e Urbino</w:t>
      </w:r>
      <w:r w:rsidRPr="00CF7502">
        <w:rPr>
          <w:rFonts w:ascii="Titillium Web" w:hAnsi="Titillium Web"/>
        </w:rPr>
        <w:t xml:space="preserve"> relativamente ai tempi di attesa per l’erogazione delle principali prestazioni mostrano un andamento tendenzialmente positivo.  </w:t>
      </w:r>
      <w:r w:rsidR="005433BE" w:rsidRPr="00CF7502">
        <w:rPr>
          <w:rFonts w:ascii="Titillium Web" w:hAnsi="Titillium Web"/>
        </w:rPr>
        <w:t xml:space="preserve">Aumentano i tempi medi per le visite di invalidità civile, che passano dai </w:t>
      </w:r>
      <w:r w:rsidR="00CF7502" w:rsidRPr="00CF7502">
        <w:rPr>
          <w:rFonts w:ascii="Titillium Web" w:hAnsi="Titillium Web"/>
        </w:rPr>
        <w:t>131</w:t>
      </w:r>
      <w:r w:rsidR="005433BE" w:rsidRPr="00CF7502">
        <w:rPr>
          <w:rFonts w:ascii="Titillium Web" w:hAnsi="Titillium Web"/>
        </w:rPr>
        <w:t xml:space="preserve"> giorni del 2022 ai </w:t>
      </w:r>
      <w:r w:rsidR="00CF7502" w:rsidRPr="00CF7502">
        <w:rPr>
          <w:rFonts w:ascii="Titillium Web" w:hAnsi="Titillium Web"/>
        </w:rPr>
        <w:t>157</w:t>
      </w:r>
      <w:r w:rsidR="005433BE" w:rsidRPr="00CF7502">
        <w:rPr>
          <w:rFonts w:ascii="Titillium Web" w:hAnsi="Titillium Web"/>
        </w:rPr>
        <w:t xml:space="preserve"> giorni del 2025. Nel dettaglio, d</w:t>
      </w:r>
      <w:r w:rsidRPr="00CF7502">
        <w:rPr>
          <w:rFonts w:ascii="Titillium Web" w:hAnsi="Titillium Web"/>
        </w:rPr>
        <w:t xml:space="preserve">iminuiscono i tempi medi di fase amministrativa, passando da </w:t>
      </w:r>
      <w:r w:rsidR="00CF7502" w:rsidRPr="00CF7502">
        <w:rPr>
          <w:rFonts w:ascii="Titillium Web" w:hAnsi="Titillium Web"/>
        </w:rPr>
        <w:t>21</w:t>
      </w:r>
      <w:r w:rsidRPr="00CF7502">
        <w:rPr>
          <w:rFonts w:ascii="Titillium Web" w:hAnsi="Titillium Web"/>
        </w:rPr>
        <w:t xml:space="preserve"> gg nel 2022 a 1</w:t>
      </w:r>
      <w:r w:rsidR="00CF7502" w:rsidRPr="00CF7502">
        <w:rPr>
          <w:rFonts w:ascii="Titillium Web" w:hAnsi="Titillium Web"/>
        </w:rPr>
        <w:t>8</w:t>
      </w:r>
      <w:r w:rsidRPr="00CF7502">
        <w:rPr>
          <w:rFonts w:ascii="Titillium Web" w:hAnsi="Titillium Web"/>
        </w:rPr>
        <w:t xml:space="preserve"> gg nel 2025.</w:t>
      </w:r>
    </w:p>
    <w:sectPr w:rsidR="00A306FF" w:rsidRPr="00C21F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altName w:val="Cambria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68"/>
    <w:rsid w:val="00010F46"/>
    <w:rsid w:val="0003428F"/>
    <w:rsid w:val="00034619"/>
    <w:rsid w:val="000412C9"/>
    <w:rsid w:val="00045F41"/>
    <w:rsid w:val="00055785"/>
    <w:rsid w:val="00061300"/>
    <w:rsid w:val="0006254E"/>
    <w:rsid w:val="00065F5E"/>
    <w:rsid w:val="00067E8D"/>
    <w:rsid w:val="0007065E"/>
    <w:rsid w:val="00070BE8"/>
    <w:rsid w:val="00087F85"/>
    <w:rsid w:val="000917EF"/>
    <w:rsid w:val="00094295"/>
    <w:rsid w:val="000A7269"/>
    <w:rsid w:val="000B6282"/>
    <w:rsid w:val="000C1A4E"/>
    <w:rsid w:val="000C3F57"/>
    <w:rsid w:val="000D41FD"/>
    <w:rsid w:val="000E31ED"/>
    <w:rsid w:val="000F00CB"/>
    <w:rsid w:val="000F76B0"/>
    <w:rsid w:val="00106DB6"/>
    <w:rsid w:val="001203B7"/>
    <w:rsid w:val="00121AF3"/>
    <w:rsid w:val="00121B33"/>
    <w:rsid w:val="00140785"/>
    <w:rsid w:val="001449BA"/>
    <w:rsid w:val="0017349B"/>
    <w:rsid w:val="001746E3"/>
    <w:rsid w:val="0018055E"/>
    <w:rsid w:val="001943B4"/>
    <w:rsid w:val="001A2CDF"/>
    <w:rsid w:val="001A3181"/>
    <w:rsid w:val="001A57E5"/>
    <w:rsid w:val="001A7978"/>
    <w:rsid w:val="001B03CB"/>
    <w:rsid w:val="001B7190"/>
    <w:rsid w:val="001C32A0"/>
    <w:rsid w:val="001C51F1"/>
    <w:rsid w:val="002020BC"/>
    <w:rsid w:val="00205C67"/>
    <w:rsid w:val="00216D6A"/>
    <w:rsid w:val="0022010C"/>
    <w:rsid w:val="00220BD9"/>
    <w:rsid w:val="00227E83"/>
    <w:rsid w:val="00255B42"/>
    <w:rsid w:val="002725A7"/>
    <w:rsid w:val="00273A26"/>
    <w:rsid w:val="002A0E32"/>
    <w:rsid w:val="002A38DE"/>
    <w:rsid w:val="002B29F0"/>
    <w:rsid w:val="002B524D"/>
    <w:rsid w:val="002D7E31"/>
    <w:rsid w:val="002E1A3E"/>
    <w:rsid w:val="002F756F"/>
    <w:rsid w:val="0030094B"/>
    <w:rsid w:val="003014CF"/>
    <w:rsid w:val="003200CB"/>
    <w:rsid w:val="0032091E"/>
    <w:rsid w:val="003240A9"/>
    <w:rsid w:val="003241D9"/>
    <w:rsid w:val="003274A3"/>
    <w:rsid w:val="00352EEF"/>
    <w:rsid w:val="00353343"/>
    <w:rsid w:val="00372100"/>
    <w:rsid w:val="00372BB7"/>
    <w:rsid w:val="003764EE"/>
    <w:rsid w:val="003822A1"/>
    <w:rsid w:val="00387228"/>
    <w:rsid w:val="003A7EC8"/>
    <w:rsid w:val="003C03D2"/>
    <w:rsid w:val="003C3A68"/>
    <w:rsid w:val="003C70F2"/>
    <w:rsid w:val="003D49E1"/>
    <w:rsid w:val="003E57A1"/>
    <w:rsid w:val="003F103A"/>
    <w:rsid w:val="003F3FAA"/>
    <w:rsid w:val="00401CD5"/>
    <w:rsid w:val="0040645F"/>
    <w:rsid w:val="00411724"/>
    <w:rsid w:val="00422781"/>
    <w:rsid w:val="00422F15"/>
    <w:rsid w:val="00425466"/>
    <w:rsid w:val="00427E2C"/>
    <w:rsid w:val="00427F45"/>
    <w:rsid w:val="00432128"/>
    <w:rsid w:val="00434E80"/>
    <w:rsid w:val="00443807"/>
    <w:rsid w:val="00465E92"/>
    <w:rsid w:val="00474B9C"/>
    <w:rsid w:val="00481E06"/>
    <w:rsid w:val="00484079"/>
    <w:rsid w:val="00485B89"/>
    <w:rsid w:val="0048695C"/>
    <w:rsid w:val="004A6586"/>
    <w:rsid w:val="004A6D3E"/>
    <w:rsid w:val="004C3E82"/>
    <w:rsid w:val="004D28F8"/>
    <w:rsid w:val="004D690E"/>
    <w:rsid w:val="00500C76"/>
    <w:rsid w:val="00504D6E"/>
    <w:rsid w:val="005303D3"/>
    <w:rsid w:val="00532E45"/>
    <w:rsid w:val="005412CA"/>
    <w:rsid w:val="005433BE"/>
    <w:rsid w:val="00545139"/>
    <w:rsid w:val="005536F8"/>
    <w:rsid w:val="00554ADC"/>
    <w:rsid w:val="005625A4"/>
    <w:rsid w:val="00563F38"/>
    <w:rsid w:val="005849D1"/>
    <w:rsid w:val="00594D18"/>
    <w:rsid w:val="005C18DB"/>
    <w:rsid w:val="005C72D6"/>
    <w:rsid w:val="005D0CFA"/>
    <w:rsid w:val="005D3EB6"/>
    <w:rsid w:val="005D55F0"/>
    <w:rsid w:val="005E3A79"/>
    <w:rsid w:val="005E4494"/>
    <w:rsid w:val="00626A1D"/>
    <w:rsid w:val="0063159C"/>
    <w:rsid w:val="006501C9"/>
    <w:rsid w:val="006523FB"/>
    <w:rsid w:val="00656F02"/>
    <w:rsid w:val="006659CA"/>
    <w:rsid w:val="006731DD"/>
    <w:rsid w:val="00674D3E"/>
    <w:rsid w:val="00687436"/>
    <w:rsid w:val="0069297B"/>
    <w:rsid w:val="00692FE8"/>
    <w:rsid w:val="0069566C"/>
    <w:rsid w:val="006D1DE0"/>
    <w:rsid w:val="006D3AC9"/>
    <w:rsid w:val="006F215F"/>
    <w:rsid w:val="006F6DA6"/>
    <w:rsid w:val="00733A00"/>
    <w:rsid w:val="00752D50"/>
    <w:rsid w:val="00753917"/>
    <w:rsid w:val="00753F66"/>
    <w:rsid w:val="00766AE2"/>
    <w:rsid w:val="00783A5E"/>
    <w:rsid w:val="00784E56"/>
    <w:rsid w:val="00787641"/>
    <w:rsid w:val="007933ED"/>
    <w:rsid w:val="0079516E"/>
    <w:rsid w:val="007A6B58"/>
    <w:rsid w:val="007B04FD"/>
    <w:rsid w:val="007B0779"/>
    <w:rsid w:val="007B4D47"/>
    <w:rsid w:val="007D204C"/>
    <w:rsid w:val="007D3565"/>
    <w:rsid w:val="007E46B6"/>
    <w:rsid w:val="007F1DD4"/>
    <w:rsid w:val="007F3231"/>
    <w:rsid w:val="00806AFF"/>
    <w:rsid w:val="00810D25"/>
    <w:rsid w:val="00816EE4"/>
    <w:rsid w:val="008210A5"/>
    <w:rsid w:val="00822721"/>
    <w:rsid w:val="008247E4"/>
    <w:rsid w:val="008252E5"/>
    <w:rsid w:val="00826686"/>
    <w:rsid w:val="00842C4E"/>
    <w:rsid w:val="00852E2C"/>
    <w:rsid w:val="00856679"/>
    <w:rsid w:val="008730F8"/>
    <w:rsid w:val="008825B1"/>
    <w:rsid w:val="0088360C"/>
    <w:rsid w:val="00884239"/>
    <w:rsid w:val="008A1075"/>
    <w:rsid w:val="008A4A8C"/>
    <w:rsid w:val="008B1BBE"/>
    <w:rsid w:val="008B6667"/>
    <w:rsid w:val="008C1899"/>
    <w:rsid w:val="008D417E"/>
    <w:rsid w:val="009011DB"/>
    <w:rsid w:val="00904ADE"/>
    <w:rsid w:val="00915F5B"/>
    <w:rsid w:val="00916C8B"/>
    <w:rsid w:val="00917D5B"/>
    <w:rsid w:val="00932554"/>
    <w:rsid w:val="00933ADA"/>
    <w:rsid w:val="00942BAA"/>
    <w:rsid w:val="00945C43"/>
    <w:rsid w:val="0095589F"/>
    <w:rsid w:val="00960CB9"/>
    <w:rsid w:val="00987CBE"/>
    <w:rsid w:val="009928A6"/>
    <w:rsid w:val="00994436"/>
    <w:rsid w:val="00994A64"/>
    <w:rsid w:val="0099626D"/>
    <w:rsid w:val="009A05E3"/>
    <w:rsid w:val="009A4999"/>
    <w:rsid w:val="009B304C"/>
    <w:rsid w:val="009B3D68"/>
    <w:rsid w:val="009B4266"/>
    <w:rsid w:val="009B53CA"/>
    <w:rsid w:val="009B6D6D"/>
    <w:rsid w:val="009C2865"/>
    <w:rsid w:val="009C7ECC"/>
    <w:rsid w:val="009D574A"/>
    <w:rsid w:val="009E0C83"/>
    <w:rsid w:val="009F075B"/>
    <w:rsid w:val="009F1C12"/>
    <w:rsid w:val="00A03399"/>
    <w:rsid w:val="00A04327"/>
    <w:rsid w:val="00A0745B"/>
    <w:rsid w:val="00A101AA"/>
    <w:rsid w:val="00A27A40"/>
    <w:rsid w:val="00A306FF"/>
    <w:rsid w:val="00A55322"/>
    <w:rsid w:val="00A710B1"/>
    <w:rsid w:val="00A742AA"/>
    <w:rsid w:val="00A762B6"/>
    <w:rsid w:val="00A84085"/>
    <w:rsid w:val="00A853A3"/>
    <w:rsid w:val="00A93D94"/>
    <w:rsid w:val="00AA0E48"/>
    <w:rsid w:val="00AA5B3C"/>
    <w:rsid w:val="00AC2ED7"/>
    <w:rsid w:val="00AC3421"/>
    <w:rsid w:val="00AC3BD2"/>
    <w:rsid w:val="00AC6CA6"/>
    <w:rsid w:val="00AC7BF8"/>
    <w:rsid w:val="00AE0FC3"/>
    <w:rsid w:val="00AE4052"/>
    <w:rsid w:val="00AE45FD"/>
    <w:rsid w:val="00AE4A09"/>
    <w:rsid w:val="00AF1F7A"/>
    <w:rsid w:val="00AF2539"/>
    <w:rsid w:val="00B02FE3"/>
    <w:rsid w:val="00B12B73"/>
    <w:rsid w:val="00B227FB"/>
    <w:rsid w:val="00B24019"/>
    <w:rsid w:val="00B25D9C"/>
    <w:rsid w:val="00B359B9"/>
    <w:rsid w:val="00B36F81"/>
    <w:rsid w:val="00B56A5F"/>
    <w:rsid w:val="00B739E3"/>
    <w:rsid w:val="00B774CD"/>
    <w:rsid w:val="00B8539D"/>
    <w:rsid w:val="00B909BE"/>
    <w:rsid w:val="00B95A06"/>
    <w:rsid w:val="00B97861"/>
    <w:rsid w:val="00BA3113"/>
    <w:rsid w:val="00BB457F"/>
    <w:rsid w:val="00BB4EB8"/>
    <w:rsid w:val="00BC676C"/>
    <w:rsid w:val="00BD0662"/>
    <w:rsid w:val="00BD091C"/>
    <w:rsid w:val="00BD1EBD"/>
    <w:rsid w:val="00BE3702"/>
    <w:rsid w:val="00BE3994"/>
    <w:rsid w:val="00BF3E93"/>
    <w:rsid w:val="00BF4274"/>
    <w:rsid w:val="00BF4F64"/>
    <w:rsid w:val="00BF5523"/>
    <w:rsid w:val="00C167BE"/>
    <w:rsid w:val="00C20313"/>
    <w:rsid w:val="00C21FA0"/>
    <w:rsid w:val="00C26FA4"/>
    <w:rsid w:val="00C27430"/>
    <w:rsid w:val="00C32873"/>
    <w:rsid w:val="00C335F4"/>
    <w:rsid w:val="00C41374"/>
    <w:rsid w:val="00C4299B"/>
    <w:rsid w:val="00C44F36"/>
    <w:rsid w:val="00C51F46"/>
    <w:rsid w:val="00C73B51"/>
    <w:rsid w:val="00C7435D"/>
    <w:rsid w:val="00C80DFB"/>
    <w:rsid w:val="00C916FA"/>
    <w:rsid w:val="00C92465"/>
    <w:rsid w:val="00C92FAD"/>
    <w:rsid w:val="00CA1A33"/>
    <w:rsid w:val="00CB4B17"/>
    <w:rsid w:val="00CB7BFE"/>
    <w:rsid w:val="00CE57FC"/>
    <w:rsid w:val="00CF0065"/>
    <w:rsid w:val="00CF7502"/>
    <w:rsid w:val="00D22CF7"/>
    <w:rsid w:val="00D261F5"/>
    <w:rsid w:val="00D26A00"/>
    <w:rsid w:val="00D40599"/>
    <w:rsid w:val="00D40A0C"/>
    <w:rsid w:val="00D4505B"/>
    <w:rsid w:val="00D61761"/>
    <w:rsid w:val="00D64CD1"/>
    <w:rsid w:val="00D65062"/>
    <w:rsid w:val="00D658B0"/>
    <w:rsid w:val="00D77626"/>
    <w:rsid w:val="00D860AF"/>
    <w:rsid w:val="00D91923"/>
    <w:rsid w:val="00D93F8C"/>
    <w:rsid w:val="00DA530A"/>
    <w:rsid w:val="00DB22EF"/>
    <w:rsid w:val="00DC0B57"/>
    <w:rsid w:val="00DC4582"/>
    <w:rsid w:val="00DE1A8E"/>
    <w:rsid w:val="00E16346"/>
    <w:rsid w:val="00E23B6A"/>
    <w:rsid w:val="00E33C65"/>
    <w:rsid w:val="00E358BC"/>
    <w:rsid w:val="00E35D44"/>
    <w:rsid w:val="00E3723B"/>
    <w:rsid w:val="00E400FA"/>
    <w:rsid w:val="00E6049F"/>
    <w:rsid w:val="00E63950"/>
    <w:rsid w:val="00E662ED"/>
    <w:rsid w:val="00E6723C"/>
    <w:rsid w:val="00E77E9C"/>
    <w:rsid w:val="00E810EE"/>
    <w:rsid w:val="00E8275F"/>
    <w:rsid w:val="00E901DA"/>
    <w:rsid w:val="00EA12A4"/>
    <w:rsid w:val="00EA3A3B"/>
    <w:rsid w:val="00EA765C"/>
    <w:rsid w:val="00EB30D5"/>
    <w:rsid w:val="00EC3E25"/>
    <w:rsid w:val="00EC4AB5"/>
    <w:rsid w:val="00EC6550"/>
    <w:rsid w:val="00EC68DF"/>
    <w:rsid w:val="00ED1469"/>
    <w:rsid w:val="00ED4E81"/>
    <w:rsid w:val="00EE4266"/>
    <w:rsid w:val="00EE4B77"/>
    <w:rsid w:val="00EF5555"/>
    <w:rsid w:val="00F0768B"/>
    <w:rsid w:val="00F13233"/>
    <w:rsid w:val="00F14AFD"/>
    <w:rsid w:val="00F3565A"/>
    <w:rsid w:val="00F4504F"/>
    <w:rsid w:val="00F56D3A"/>
    <w:rsid w:val="00F60F7B"/>
    <w:rsid w:val="00F63565"/>
    <w:rsid w:val="00F679B4"/>
    <w:rsid w:val="00F72C4B"/>
    <w:rsid w:val="00F778A1"/>
    <w:rsid w:val="00F84213"/>
    <w:rsid w:val="00F8571D"/>
    <w:rsid w:val="00F870B5"/>
    <w:rsid w:val="00F9353C"/>
    <w:rsid w:val="00FA6C09"/>
    <w:rsid w:val="00FA7604"/>
    <w:rsid w:val="00FB1D14"/>
    <w:rsid w:val="00FC28EA"/>
    <w:rsid w:val="00FD2588"/>
    <w:rsid w:val="00FE2E0D"/>
    <w:rsid w:val="00FE3D3D"/>
    <w:rsid w:val="00FF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DFD6D"/>
  <w15:chartTrackingRefBased/>
  <w15:docId w15:val="{E5BF96D9-AA7B-4597-89F8-DACC76AD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B3D68"/>
    <w:pPr>
      <w:spacing w:line="259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B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B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B3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B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B3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B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B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B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B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B3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B3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B3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B3D6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B3D6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B3D6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B3D6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B3D6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B3D6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B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B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B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B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B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B3D6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B3D6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B3D6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B3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B3D6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B3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7053d3-7235-4a33-8c0a-a747de3ab361">
      <Terms xmlns="http://schemas.microsoft.com/office/infopath/2007/PartnerControls"/>
    </lcf76f155ced4ddcb4097134ff3c332f>
    <TaxCatchAll xmlns="21274d79-4339-456a-a1bf-c47c5b3aeaf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B707E7F6C6264EA6DE1E38511071CD" ma:contentTypeVersion="14" ma:contentTypeDescription="Create a new document." ma:contentTypeScope="" ma:versionID="f88c63e22cb109f6a9a0c69a33e23984">
  <xsd:schema xmlns:xsd="http://www.w3.org/2001/XMLSchema" xmlns:xs="http://www.w3.org/2001/XMLSchema" xmlns:p="http://schemas.microsoft.com/office/2006/metadata/properties" xmlns:ns2="717053d3-7235-4a33-8c0a-a747de3ab361" xmlns:ns3="21274d79-4339-456a-a1bf-c47c5b3aeaf8" targetNamespace="http://schemas.microsoft.com/office/2006/metadata/properties" ma:root="true" ma:fieldsID="f675064d37d9d4fe17ea8ca7a380d442" ns2:_="" ns3:_="">
    <xsd:import namespace="717053d3-7235-4a33-8c0a-a747de3ab361"/>
    <xsd:import namespace="21274d79-4339-456a-a1bf-c47c5b3aea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053d3-7235-4a33-8c0a-a747de3ab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74d79-4339-456a-a1bf-c47c5b3aeaf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6a13804-b202-495d-a548-bd229f4a1a21}" ma:internalName="TaxCatchAll" ma:showField="CatchAllData" ma:web="21274d79-4339-456a-a1bf-c47c5b3aea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9540F6-CEE9-4FAD-8226-44D4A229B94D}">
  <ds:schemaRefs>
    <ds:schemaRef ds:uri="http://schemas.microsoft.com/office/2006/metadata/properties"/>
    <ds:schemaRef ds:uri="http://schemas.microsoft.com/office/infopath/2007/PartnerControls"/>
    <ds:schemaRef ds:uri="717053d3-7235-4a33-8c0a-a747de3ab361"/>
    <ds:schemaRef ds:uri="21274d79-4339-456a-a1bf-c47c5b3aeaf8"/>
  </ds:schemaRefs>
</ds:datastoreItem>
</file>

<file path=customXml/itemProps2.xml><?xml version="1.0" encoding="utf-8"?>
<ds:datastoreItem xmlns:ds="http://schemas.openxmlformats.org/officeDocument/2006/customXml" ds:itemID="{7CC28FE4-079C-4231-A763-9B853AE715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7053d3-7235-4a33-8c0a-a747de3ab361"/>
    <ds:schemaRef ds:uri="21274d79-4339-456a-a1bf-c47c5b3aea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B67A82-C5EC-40A9-BCBD-3CC0BB88599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5653b52-df9b-47d2-8549-8de78ac04e21}" enabled="1" method="Standard" siteId="{deff24bb-2089-4400-8c8e-f71e680378b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Giagnoli, Andrea</dc:creator>
  <cp:keywords/>
  <dc:description/>
  <cp:lastModifiedBy>Cristofari, Martina</cp:lastModifiedBy>
  <cp:revision>110</cp:revision>
  <dcterms:created xsi:type="dcterms:W3CDTF">2026-07-28T07:18:00Z</dcterms:created>
  <dcterms:modified xsi:type="dcterms:W3CDTF">2026-09-07T07:44:00Z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0x01010060B707E7F6C6264EA6DE1E38511071CD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