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Scrum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short description of the process we followed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Product Owner - representing the customer - wrote the EPICS - these are long user stories. The EPIC document is included in the folder - called EpicsForNewsFastTuesday16th.pdf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group we reviewed the EPIC document on google hangout meeting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the meeting we decided that the first sprint would be till 30th June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decided which EPICS we would take on for the first sprint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Product owner then went away and broke the EPIC into user stories which were added to Trello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had another group hangout meeting to assign the stories - and to order them by priority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general it’s difficult for us to estimate how long the stories will take to complete, we believe we will complete all stories for the first spring, we will monitor this by regular meetings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