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A2 · Attention, notes et environnement de travail au lycée</w:t>
      </w:r>
    </w:p>
    <w:p>
      <w:pPr>
        <w:spacing w:after="200" w:before="0"/>
      </w:pPr>
      <w:r>
        <w:rPr>
          <w:rFonts w:ascii="Calibri" w:cs="Calibri" w:eastAsia="Calibri" w:hAnsi="Calibri"/>
          <w:i/>
          <w:iCs/>
          <w:sz w:val="22"/>
          <w:szCs w:val="22"/>
        </w:rPr>
        <w:t xml:space="preserve">Guide d’animation du professeur principal — Classe de 2de · Dispositif « Apprendre à apprendre » · Institut Stanislas de Cannes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Attention — formulation élève : « Mon cerveau n’apprend que ce qu’il regarde vraiment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sait prendre sur un cours parlé des notes structurées et exploitables pour s’auto-interroger (marge de questions), (2) a mis à jour — ou créé — son protocole écrans au format « quand… alors… », dimensionné pour le volume de travail du lycée (2 à 3 h par soir).</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la prise de notes vaut comme traitement actif de l’information et comme support de récupération ultérieure (lien avec le testing effect, Roediger &amp; Karpicke, 2006 — établi). Point à ne jamais trancher : la supériorité de la main sur le clavier (Mueller &amp; Oppenheimer, 2014) n’est pas répliquée de façon robuste (Morehead et al., 2019). Coût des interruptions et de la simple présence du téléphone : Ward et al., 2017 (établi — vécu en A1 par les élèves issus du collège).</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80 % du temps (norme du dispositif : ≥ 60 %).</w:t>
      </w:r>
    </w:p>
    <w:p>
      <w:pPr>
        <w:spacing w:after="120" w:before="0"/>
      </w:pPr>
      <w:r>
        <w:rPr>
          <w:rFonts w:ascii="Calibri" w:cs="Calibri" w:eastAsia="Calibri" w:hAnsi="Calibri"/>
          <w:b/>
          <w:bCs/>
          <w:sz w:val="22"/>
          <w:szCs w:val="22"/>
        </w:rPr>
        <w:t xml:space="preserve">Liens avec les autres séances : </w:t>
      </w:r>
      <w:r>
        <w:rPr>
          <w:rFonts w:ascii="Calibri" w:cs="Calibri" w:eastAsia="Calibri" w:hAnsi="Calibri"/>
          <w:sz w:val="22"/>
          <w:szCs w:val="22"/>
        </w:rPr>
        <w:t xml:space="preserve">A1 (3e) pour le protocole écrans — les élèves issus du collège de l’établissement l’ont dans leur carnet de méthodes ; pour les autres, on le crée en séance (tout est fourni). La boucle de récupération de la phase 5 annonce B2 (octobre) : le dire explicitement aux élèves.</w:t>
      </w:r>
    </w:p>
    <w:p>
      <w:pPr>
        <w:pBdr>
          <w:top w:val="single" w:color="C00000" w:sz="6"/>
          <w:left w:val="single" w:color="C00000" w:sz="18"/>
        </w:pBdr>
        <w:shd w:fill="FDEAEA" w:val="clear"/>
        <w:spacing w:after="20" w:before="0"/>
      </w:pPr>
      <w:r>
        <w:rPr>
          <w:rFonts w:ascii="Calibri" w:cs="Calibri" w:eastAsia="Calibri" w:hAnsi="Calibri"/>
          <w:b/>
          <w:bCs/>
          <w:color w:val="C00000"/>
          <w:sz w:val="22"/>
          <w:szCs w:val="22"/>
        </w:rPr>
        <w:t xml:space="preserve">À SE PROCURER LOCALEMENT AVANT LA SÉANCE</w:t>
      </w:r>
    </w:p>
    <w:p>
      <w:pPr>
        <w:pBdr>
          <w:left w:val="single" w:color="C00000" w:sz="18"/>
        </w:pBdr>
        <w:shd w:fill="FDEAEA" w:val="clear"/>
        <w:spacing w:after="20" w:before="0"/>
      </w:pPr>
      <w:r>
        <w:rPr>
          <w:rFonts w:ascii="Calibri" w:cs="Calibri" w:eastAsia="Calibri" w:hAnsi="Calibri"/>
          <w:color w:val="C00000"/>
          <w:sz w:val="22"/>
          <w:szCs w:val="22"/>
        </w:rPr>
        <w:t xml:space="preserve">– Photocopies des supports élèves : par élève, 1 grille de comparaison (support 1), 2 gabarits de page de notes (support 2 — un pour l’essai 2, un de réserve à coller au carnet), 1 fiche audit + protocole (support 3), 1 trace écrite (support 4).</w:t>
      </w:r>
    </w:p>
    <w:p>
      <w:pPr>
        <w:pBdr>
          <w:left w:val="single" w:color="C00000" w:sz="18"/>
        </w:pBdr>
        <w:shd w:fill="FDEAEA" w:val="clear"/>
        <w:spacing w:after="20" w:before="0"/>
      </w:pPr>
      <w:r>
        <w:rPr>
          <w:rFonts w:ascii="Calibri" w:cs="Calibri" w:eastAsia="Calibri" w:hAnsi="Calibri"/>
          <w:color w:val="C00000"/>
          <w:sz w:val="22"/>
          <w:szCs w:val="22"/>
        </w:rPr>
        <w:t xml:space="preserve">– Un chronomètre projetable (minuteur en ligne ou intégré au diaporama).</w:t>
      </w:r>
    </w:p>
    <w:p>
      <w:pPr>
        <w:pBdr>
          <w:left w:val="single" w:color="C00000" w:sz="18"/>
        </w:pBdr>
        <w:shd w:fill="FDEAEA" w:val="clear"/>
        <w:spacing w:after="20" w:before="0"/>
      </w:pPr>
      <w:r>
        <w:rPr>
          <w:rFonts w:ascii="Calibri" w:cs="Calibri" w:eastAsia="Calibri" w:hAnsi="Calibri"/>
          <w:color w:val="C00000"/>
          <w:sz w:val="22"/>
          <w:szCs w:val="22"/>
        </w:rPr>
        <w:t xml:space="preserve">– Rappeler la veille aux élèves d’apporter le cahier ou classeur d’une matière au choix et leur carnet de méthodes (message ENT type en fin de guide).</w:t>
      </w:r>
    </w:p>
    <w:p>
      <w:pPr>
        <w:pBdr>
          <w:bottom w:val="single" w:color="C00000" w:sz="6"/>
          <w:left w:val="single" w:color="C00000" w:sz="18"/>
        </w:pBdr>
        <w:shd w:fill="FDEAEA" w:val="clear"/>
        <w:spacing w:after="160" w:before="0"/>
      </w:pPr>
      <w:r>
        <w:rPr>
          <w:rFonts w:ascii="Calibri" w:cs="Calibri" w:eastAsia="Calibri" w:hAnsi="Calibri"/>
          <w:color w:val="C00000"/>
          <w:sz w:val="22"/>
          <w:szCs w:val="22"/>
        </w:rPr>
        <w:t xml:space="preserve">Rien d’autre : les deux capsules à dicter sont fournies intégralement en annexes A et B de ce guide.</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1200"/>
        <w:gridCol w:w="2300"/>
        <w:gridCol w:w="900"/>
      </w:tblGrid>
      <w:tr>
        <w:trPr>
          <w:tblHeader/>
        </w:trPr>
        <w:tc>
          <w:tcPr>
            <w:tcW w:type="dxa" w:w="9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Min</w:t>
            </w:r>
          </w:p>
        </w:tc>
        <w:tc>
          <w:tcPr>
            <w:tcW w:type="dxa" w:w="44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Phase</w:t>
            </w:r>
          </w:p>
        </w:tc>
        <w:tc>
          <w:tcPr>
            <w:tcW w:type="dxa" w:w="12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Modalité</w:t>
            </w:r>
          </w:p>
        </w:tc>
        <w:tc>
          <w:tcPr>
            <w:tcW w:type="dxa" w:w="23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Rôle du PP</w:t>
            </w:r>
          </w:p>
        </w:tc>
        <w:tc>
          <w:tcPr>
            <w:tcW w:type="dxa" w:w="9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Écrans</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0–5</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Accroche : retrouver 3 informations dans son cours d’il y a 15 jours (1 min chrono), constat sur l’exploitabilité des notes</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 puis classe</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Chronomètre, fait constater sans juger</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1–2</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5–15</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Essai 1 : capsule 1 dictée façon cours magistral (≈ 4 min), prise de notes libre</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Lit la capsule au rythme prescrit, ne répète pas</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3–4</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15–25</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Comparaison en binôme avec grille, puis mise en commun : les 3 principes (format Cornell simplifié)</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Binôme puis classe</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Fait émerger les principes, complète</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5–7</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25–33</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Essai 2 : capsule 2 sur le gabarit, application des 3 principes</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Lit la capsule, observe les progrès</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8</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33–40</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Boucle de récupération : 3 questions dans la marge, auto-interrogation notes masquées ; annonce de B2</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Montre l’exemple projeté, veille aux notes masquées</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9–10</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40–50</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Environnement v2 : audit de la soirée type, mise à jour du protocole « quand… alors… »</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Aide à dimensionner pour le lycée, refuse les règles héroïques</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11–12</w:t>
            </w:r>
          </w:p>
        </w:tc>
      </w:tr>
      <w:tr>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50–55</w:t>
            </w:r>
          </w:p>
        </w:tc>
        <w:tc>
          <w:tcPr>
            <w:tcW w:type="dxa" w:w="4400"/>
            <w:tcMar>
              <w:top w:type="dxa" w:w="60"/>
              <w:left w:type="dxa" w:w="100"/>
              <w:bottom w:type="dxa" w:w="60"/>
              <w:right w:type="dxa" w:w="100"/>
            </w:tcMar>
          </w:tcPr>
          <w:p>
            <w:pPr>
              <w:spacing w:after="0" w:before="0"/>
            </w:pPr>
            <w:r>
              <w:rPr>
                <w:rFonts w:ascii="Calibri" w:cs="Calibri" w:eastAsia="Calibri" w:hAnsi="Calibri"/>
                <w:sz w:val="20"/>
                <w:szCs w:val="20"/>
              </w:rPr>
              <w:t xml:space="preserve">Trace écrite au carnet + engagement 7 jours</w:t>
            </w:r>
          </w:p>
        </w:tc>
        <w:tc>
          <w:tcPr>
            <w:tcW w:type="dxa" w:w="1200"/>
            <w:tcMar>
              <w:top w:type="dxa" w:w="60"/>
              <w:left w:type="dxa" w:w="100"/>
              <w:bottom w:type="dxa" w:w="60"/>
              <w:right w:type="dxa" w:w="100"/>
            </w:tcMar>
          </w:tcPr>
          <w:p>
            <w:pPr>
              <w:spacing w:after="0" w:before="0"/>
            </w:pPr>
            <w:r>
              <w:rPr>
                <w:rFonts w:ascii="Calibri" w:cs="Calibri" w:eastAsia="Calibri" w:hAnsi="Calibri"/>
                <w:sz w:val="20"/>
                <w:szCs w:val="20"/>
              </w:rPr>
              <w:t xml:space="preserve">Individuel</w:t>
            </w:r>
          </w:p>
        </w:tc>
        <w:tc>
          <w:tcPr>
            <w:tcW w:type="dxa" w:w="2300"/>
            <w:tcMar>
              <w:top w:type="dxa" w:w="60"/>
              <w:left w:type="dxa" w:w="100"/>
              <w:bottom w:type="dxa" w:w="60"/>
              <w:right w:type="dxa" w:w="100"/>
            </w:tcMar>
          </w:tcPr>
          <w:p>
            <w:pPr>
              <w:spacing w:after="0" w:before="0"/>
            </w:pPr>
            <w:r>
              <w:rPr>
                <w:rFonts w:ascii="Calibri" w:cs="Calibri" w:eastAsia="Calibri" w:hAnsi="Calibri"/>
                <w:sz w:val="20"/>
                <w:szCs w:val="20"/>
              </w:rPr>
              <w:t xml:space="preserve">Formalise le rituel de suivi</w:t>
            </w:r>
          </w:p>
        </w:tc>
        <w:tc>
          <w:tcPr>
            <w:tcW w:type="dxa" w:w="900"/>
            <w:tcMar>
              <w:top w:type="dxa" w:w="60"/>
              <w:left w:type="dxa" w:w="100"/>
              <w:bottom w:type="dxa" w:w="60"/>
              <w:right w:type="dxa" w:w="100"/>
            </w:tcMar>
          </w:tcPr>
          <w:p>
            <w:pPr>
              <w:spacing w:after="0" w:before="0"/>
            </w:pPr>
            <w:r>
              <w:rPr>
                <w:rFonts w:ascii="Calibri" w:cs="Calibri" w:eastAsia="Calibri" w:hAnsi="Calibri"/>
                <w:sz w:val="20"/>
                <w:szCs w:val="20"/>
              </w:rPr>
              <w:t xml:space="preserve">13</w:t>
            </w:r>
          </w:p>
        </w:tc>
      </w:tr>
    </w:tbl>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0–5 min · Accroche : vos notes servent-elles encore ? (indiv. puis classe, écrans 1–2)</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Ouvrez votre cahier à un cours d’il y a environ quinze jours, n’importe quelle matière. Vous avez une minute pour y retrouver trois informations précises — une définition, une date, une formule, un argument. Uniquement avec vos notes. Top.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(1) 1 minute chrono. (2) Sondage à main levée, sans commenter les cahiers individuels : « Qui a trouvé ses trois informations ? Qui a trouvé la bonne page, mais pas l’information ? Qui a des notes incomplètes ou illisibles ? » (3) Faire formuler la conclusion par un élève : des notes ne servent pas le jour même, elles servent dans quinze jours, pour réviser.</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constat partagé que la plupart des notes ne sont pas exploitables à quinze jours. C’est le problème que la séance va résoudre — ne pas donner la solution maintenant.</w:t>
      </w:r>
    </w:p>
    <w:p>
      <w:pPr>
        <w:pStyle w:val="Heading2"/>
        <w:spacing w:after="100" w:before="200"/>
      </w:pPr>
      <w:r>
        <w:rPr>
          <w:rFonts w:ascii="Calibri" w:cs="Calibri" w:eastAsia="Calibri" w:hAnsi="Calibri"/>
          <w:b/>
          <w:bCs/>
          <w:color w:val="2E5395"/>
          <w:sz w:val="24"/>
          <w:szCs w:val="24"/>
        </w:rPr>
        <w:t xml:space="preserve">Phase 2 · 5–15 min · Essai 1 : notes libres sur la capsule 1 (individuel, écrans 3–4)</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Je vais vous faire un mini-cours de quatre minutes, comme un professeur qui parle sans dicter. Prenez des notes exactement comme vous le faites d’habitude, sur une feuille libre. Une seule règle : je ne répète rien, même si on me le demande. »</w:t>
      </w:r>
    </w:p>
    <w:p>
      <w:pPr>
        <w:spacing w:after="120" w:before="0"/>
      </w:pPr>
      <w:r>
        <w:rPr>
          <w:rFonts w:ascii="Calibri" w:cs="Calibri" w:eastAsia="Calibri" w:hAnsi="Calibri"/>
          <w:b/>
          <w:bCs/>
          <w:sz w:val="22"/>
          <w:szCs w:val="22"/>
        </w:rPr>
        <w:t xml:space="preserve">Protocole de lecture (à suivre à la lettre) : </w:t>
      </w:r>
      <w:r>
        <w:rPr>
          <w:rFonts w:ascii="Calibri" w:cs="Calibri" w:eastAsia="Calibri" w:hAnsi="Calibri"/>
          <w:sz w:val="22"/>
          <w:szCs w:val="22"/>
        </w:rPr>
        <w:t xml:space="preserve">lire la capsule 1 (annexe A, texte intégral) debout, à un rythme de parole normal — le texte est calibré pour environ 4 minutes à ce rythme. Marquer une courte pause aux transitions en gras (« Premier point… »). Ne rien écrire au tableau, ne rien projeter d’autre que l’écran-chrono, ne pas répéter : la non-répétition est le principe actif de l’exercice. Après la lecture : 1 minute pour relire ses propres notes en silence.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notes hétérogènes — phrases complètes inachevées, absence de structure, aucune marge. C’est normal et c’est le matériau de la phase suivante.</w:t>
      </w:r>
    </w:p>
    <w:p>
      <w:pPr>
        <w:pStyle w:val="Heading2"/>
        <w:spacing w:after="100" w:before="200"/>
      </w:pPr>
      <w:r>
        <w:rPr>
          <w:rFonts w:ascii="Calibri" w:cs="Calibri" w:eastAsia="Calibri" w:hAnsi="Calibri"/>
          <w:b/>
          <w:bCs/>
          <w:color w:val="2E5395"/>
          <w:sz w:val="24"/>
          <w:szCs w:val="24"/>
        </w:rPr>
        <w:t xml:space="preserve">Phase 3 · 15–25 min · Comparaison en binôme et émergence des 3 principes (binôme puis classe, écrans 5–7)</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Échangez vos notes avec votre voisin. Sur la grille, répondez aux quatre questions — sur les notes de l’autre, pas les vôtres. Puis faites le test : en trente secondes, retrouvez les trois idées principales du mini-cours dans les notes que vous avez sous les yeux. Sept minutes.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(1) 7 minutes de travail en binôme avec le support 1 (structure visible ? mots-clés ou phrases ? abréviations ? marge disponible ? + test d’exploitabilité 30 secondes). (2) Mise en commun de 3 minutes : demander « qu’est-ce qui rend des notes exploitables dans quinze jours ? » et noter les réponses au tableau. Regrouper ce qui émerge sous trois principes et afficher l’écran 7 : 1. Structurer (titres, hiérarchie visible). 2. Abréger (mots-clés et symboles, jamais de phrases complètes). 3. Garder une marge de questions (un tiers de page à gauche, vide pendant le cours). Distribuer le gabarit (support 2) pendant cette mise en commun pour gagner du temps.</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les trois principes viennent des constats des binômes ; le PP complète, il ne dicte pas. Le mot « Cornell » est facultatif ; « marge de questions » est le terme à installer.</w:t>
      </w:r>
    </w:p>
    <w:p>
      <w:pPr>
        <w:pStyle w:val="Heading2"/>
        <w:spacing w:after="100" w:before="200"/>
      </w:pPr>
      <w:r>
        <w:rPr>
          <w:rFonts w:ascii="Calibri" w:cs="Calibri" w:eastAsia="Calibri" w:hAnsi="Calibri"/>
          <w:b/>
          <w:bCs/>
          <w:color w:val="2E5395"/>
          <w:sz w:val="24"/>
          <w:szCs w:val="24"/>
        </w:rPr>
        <w:t xml:space="preserve">Phase 4 · 25–33 min · Essai 2 : capsule 2 sur le gabarit (individuel, écran 8)</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Deuxième mini-cours, autre sujet, même durée, mêmes règles. Cette fois, prenez vos notes sur le gabarit : les notes à droite, la marge de gauche reste vide pour l’instant. Appliquez les trois principes.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lire la capsule 2 (annexe B) au même rythme que la capsule 1, avec les mêmes règles (pas de répétition, rien au tableau). Environ 4 minutes de lecture, puis 2,5 minutes pour compléter et structurer ses notes. Circuler pendant la lecture pour vérifier que la marge reste vide.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des notes visiblement plus structurées qu’à l’essai 1. Le progrès entre les deux essais est la démonstration de la séance : le faire constater à chacun sur ses propres feuilles.</w:t>
      </w:r>
    </w:p>
    <w:p>
      <w:pPr>
        <w:pStyle w:val="Heading2"/>
        <w:spacing w:after="100" w:before="200"/>
      </w:pPr>
      <w:r>
        <w:rPr>
          <w:rFonts w:ascii="Calibri" w:cs="Calibri" w:eastAsia="Calibri" w:hAnsi="Calibri"/>
          <w:b/>
          <w:bCs/>
          <w:color w:val="2E5395"/>
          <w:sz w:val="24"/>
          <w:szCs w:val="24"/>
        </w:rPr>
        <w:t xml:space="preserve">Phase 5 · 33–40 min · Boucle de récupération : la marge de questions (individuel, écrans 9–10)</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Maintenant, la marge. Écrivez dans la marge de gauche trois questions auxquelles vos notes répondent — comme sur l’exemple projeté. Puis cachez toute la partie droite avec une feuille, et répondez à vos trois questions de tête. Vérifiez ensuite.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(1) 3 minutes : rédaction des 3 questions, l’exemple de l’écran 9 restant projeté (une note de la capsule 2 et sa question en marge). (2) 2,5 minutes : auto-interrogation, partie droite masquée — vérifier en circulant que les notes sont bien cachées. (3) 1,5 minute : vérification. (4) Annonce, mot pour mot : « Ce que vous venez de faire — vous interroger au lieu de relire — est le geste le plus rentable de vos révisions. En octobre, séance B2 : vous transformerez vos fiches entières sur ce principe.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chaque élève a vécu le cycle note → question → récupération sur son propre travail. Cette boucle est le « test » de la séance : elle est incompressible.</w:t>
      </w:r>
    </w:p>
    <w:p>
      <w:pPr>
        <w:pStyle w:val="Heading2"/>
        <w:spacing w:after="100" w:before="200"/>
      </w:pPr>
      <w:r>
        <w:rPr>
          <w:rFonts w:ascii="Calibri" w:cs="Calibri" w:eastAsia="Calibri" w:hAnsi="Calibri"/>
          <w:b/>
          <w:bCs/>
          <w:color w:val="2E5395"/>
          <w:sz w:val="24"/>
          <w:szCs w:val="24"/>
        </w:rPr>
        <w:t xml:space="preserve">Phase 6 · 40–50 min · Environnement v2 : la soirée de lycéen (individuel, écrans 11–12)</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Au lycée, une soirée de travail, c’est deux à trois heures, plus trente minutes. Sur le support : d’abord, reconstituez votre soirée d’hier ou d’avant-hier — horaires, lieu, écrans, interruptions. Ensuite, écrivez votre protocole version lycée : trois règles maximum, au format “quand… alors…”.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(1) 4 minutes d’audit sur le support 3. (2) 6 minutes de rédaction du protocole. Élèves issus du collège de l’établissement : ouvrir le carnet de méthodes à la page du protocole A1 et le mettre à jour — qu’est-ce qui a tenu ? qu’est-ce qui ne tient plus avec 2–3 h de travail et des pauses ? Élèves nouveaux : création directe avec le gabarit, en s’appuyant sur les exemples de règles tenables imprimés sur le support. Refuser les règles héroïques (« plus jamais de téléphone le soir ») ; exiger des règles vérifiables, avec les pauses prévues dedans (« quand je fais une pause, alors je mets un minuteur de 10 minutes avant de reprendre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3 règles maximum, datées et signées, dimensionnées pour une soirée de lycéen — pas un protocole de collégien recopié.</w:t>
      </w:r>
    </w:p>
    <w:p>
      <w:pPr>
        <w:pStyle w:val="Heading2"/>
        <w:spacing w:after="100" w:before="200"/>
      </w:pPr>
      <w:r>
        <w:rPr>
          <w:rFonts w:ascii="Calibri" w:cs="Calibri" w:eastAsia="Calibri" w:hAnsi="Calibri"/>
          <w:b/>
          <w:bCs/>
          <w:color w:val="2E5395"/>
          <w:sz w:val="24"/>
          <w:szCs w:val="24"/>
        </w:rPr>
        <w:t xml:space="preserve">Phase 7 · 50–55 min · Trace écrite + engagement 7 jours (individuel, écran 13)</w:t>
      </w:r>
    </w:p>
    <w:p>
      <w:pPr>
        <w:shd w:fill="F2F2F2" w:val="clear"/>
        <w:spacing w:after="120" w:before="0"/>
      </w:pPr>
      <w:r>
        <w:rPr>
          <w:rFonts w:ascii="Calibri" w:cs="Calibri" w:eastAsia="Calibri" w:hAnsi="Calibri"/>
          <w:b/>
          <w:bCs/>
          <w:sz w:val="22"/>
          <w:szCs w:val="22"/>
        </w:rPr>
        <w:t xml:space="preserve">Verbatim de lancement : </w:t>
      </w:r>
      <w:r>
        <w:rPr>
          <w:rFonts w:ascii="Calibri" w:cs="Calibri" w:eastAsia="Calibri" w:hAnsi="Calibri"/>
          <w:sz w:val="22"/>
          <w:szCs w:val="22"/>
        </w:rPr>
        <w:t xml:space="preserve">« Complétez la trace écrite et collez-la dans le carnet de méthodes, à la page du pilier Attention, avec un gabarit de notes vierge. L’engagement des sept jours : appliquer le gabarit dans une matière de votre choix à chaque cours, et tenir le protocole écrans chaque soir de travail. Vous cochez chaque jour. On fait le point à la prochaine vie de classe. »</w:t>
      </w:r>
    </w:p>
    <w:p>
      <w:pPr>
        <w:spacing w:after="120" w:before="0"/>
      </w:pPr>
      <w:r>
        <w:rPr>
          <w:rFonts w:ascii="Calibri" w:cs="Calibri" w:eastAsia="Calibri" w:hAnsi="Calibri"/>
          <w:b/>
          <w:bCs/>
          <w:sz w:val="22"/>
          <w:szCs w:val="22"/>
        </w:rPr>
        <w:t xml:space="preserve">Protocole exact : </w:t>
      </w:r>
      <w:r>
        <w:rPr>
          <w:rFonts w:ascii="Calibri" w:cs="Calibri" w:eastAsia="Calibri" w:hAnsi="Calibri"/>
          <w:sz w:val="22"/>
          <w:szCs w:val="22"/>
        </w:rPr>
        <w:t xml:space="preserve">chaque élève complète le support 4 (les 3 principes, ses 3 règles recopiées, la matière choisie pour le gabarit) et le colle au carnet avec un gabarit vierge. Rappeler le rituel de suivi (§ 4 de ce guide) et annoncer le regard bienveillant sur 3 cahiers volontaires à J+7.</w:t>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700"/>
        <w:gridCol w:w="5000"/>
      </w:tblGrid>
      <w:tr>
        <w:trPr>
          <w:tblHeader/>
        </w:trPr>
        <w:tc>
          <w:tcPr>
            <w:tcW w:type="dxa" w:w="47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Objection</w:t>
            </w:r>
          </w:p>
        </w:tc>
        <w:tc>
          <w:tcPr>
            <w:tcW w:type="dxa" w:w="5000"/>
            <w:shd w:fill="DEEAF6" w:val="clear"/>
            <w:tcMar>
              <w:top w:type="dxa" w:w="60"/>
              <w:left w:type="dxa" w:w="100"/>
              <w:bottom w:type="dxa" w:w="60"/>
              <w:right w:type="dxa" w:w="100"/>
            </w:tcMar>
          </w:tcPr>
          <w:p>
            <w:pPr>
              <w:spacing w:after="0" w:before="0"/>
            </w:pPr>
            <w:r>
              <w:rPr>
                <w:rFonts w:ascii="Calibri" w:cs="Calibri" w:eastAsia="Calibri" w:hAnsi="Calibri"/>
                <w:b/>
                <w:bCs/>
                <w:sz w:val="20"/>
                <w:szCs w:val="20"/>
              </w:rPr>
              <w:t xml:space="preserve">Réponse en une phrase (adossée au vécu de la séance)</w:t>
            </w:r>
          </w:p>
        </w:tc>
      </w:tr>
      <w:tr>
        <w:tc>
          <w:tcPr>
            <w:tcW w:type="dxa" w:w="4700"/>
            <w:tcMar>
              <w:top w:type="dxa" w:w="60"/>
              <w:left w:type="dxa" w:w="100"/>
              <w:bottom w:type="dxa" w:w="60"/>
              <w:right w:type="dxa" w:w="100"/>
            </w:tcMar>
          </w:tcPr>
          <w:p>
            <w:pPr>
              <w:spacing w:after="0" w:before="0"/>
            </w:pPr>
            <w:r>
              <w:rPr>
                <w:rFonts w:ascii="Calibri" w:cs="Calibri" w:eastAsia="Calibri" w:hAnsi="Calibri"/>
                <w:sz w:val="20"/>
                <w:szCs w:val="20"/>
              </w:rPr>
              <w:t xml:space="preserve">« Moi, je préfère taper mes cours à l’ordinateur. »</w:t>
            </w:r>
          </w:p>
        </w:tc>
        <w:tc>
          <w:tcPr>
            <w:tcW w:type="dxa" w:w="5000"/>
            <w:tcMar>
              <w:top w:type="dxa" w:w="60"/>
              <w:left w:type="dxa" w:w="100"/>
              <w:bottom w:type="dxa" w:w="60"/>
              <w:right w:type="dxa" w:w="100"/>
            </w:tcMar>
          </w:tcPr>
          <w:p>
            <w:pPr>
              <w:spacing w:after="0" w:before="0"/>
            </w:pPr>
            <w:r>
              <w:rPr>
                <w:rFonts w:ascii="Calibri" w:cs="Calibri" w:eastAsia="Calibri" w:hAnsi="Calibri"/>
                <w:sz w:val="20"/>
                <w:szCs w:val="20"/>
              </w:rPr>
              <w:t xml:space="preserve">La recherche n’a pas tranché entre main et clavier — on ne le tranchera pas ici. Ce qui compte, c’est que vos notes permettent de vous interroger : structure, mots-clés, marge de questions. Cela vaut sur papier comme à l’écran, dans le respect des règles de la classe.</w:t>
            </w:r>
          </w:p>
        </w:tc>
      </w:tr>
      <w:tr>
        <w:tc>
          <w:tcPr>
            <w:tcW w:type="dxa" w:w="4700"/>
            <w:tcMar>
              <w:top w:type="dxa" w:w="60"/>
              <w:left w:type="dxa" w:w="100"/>
              <w:bottom w:type="dxa" w:w="60"/>
              <w:right w:type="dxa" w:w="100"/>
            </w:tcMar>
          </w:tcPr>
          <w:p>
            <w:pPr>
              <w:spacing w:after="0" w:before="0"/>
            </w:pPr>
            <w:r>
              <w:rPr>
                <w:rFonts w:ascii="Calibri" w:cs="Calibri" w:eastAsia="Calibri" w:hAnsi="Calibri"/>
                <w:sz w:val="20"/>
                <w:szCs w:val="20"/>
              </w:rPr>
              <w:t xml:space="preserve">« Mes professeurs dictent déjà tout, ça ne sert à rien. »</w:t>
            </w:r>
          </w:p>
        </w:tc>
        <w:tc>
          <w:tcPr>
            <w:tcW w:type="dxa" w:w="5000"/>
            <w:tcMar>
              <w:top w:type="dxa" w:w="60"/>
              <w:left w:type="dxa" w:w="100"/>
              <w:bottom w:type="dxa" w:w="60"/>
              <w:right w:type="dxa" w:w="100"/>
            </w:tcMar>
          </w:tcPr>
          <w:p>
            <w:pPr>
              <w:spacing w:after="0" w:before="0"/>
            </w:pPr>
            <w:r>
              <w:rPr>
                <w:rFonts w:ascii="Calibri" w:cs="Calibri" w:eastAsia="Calibri" w:hAnsi="Calibri"/>
                <w:sz w:val="20"/>
                <w:szCs w:val="20"/>
              </w:rPr>
              <w:t xml:space="preserve">Le gabarit sert pour les cours non dictés — il y en a de plus en plus au lycée. Et la marge de questions, elle, s’ajoute à tous les cours, même dictés : c’est elle qui a fonctionné tout à l’heure.</w:t>
            </w:r>
          </w:p>
        </w:tc>
      </w:tr>
      <w:tr>
        <w:tc>
          <w:tcPr>
            <w:tcW w:type="dxa" w:w="4700"/>
            <w:tcMar>
              <w:top w:type="dxa" w:w="60"/>
              <w:left w:type="dxa" w:w="100"/>
              <w:bottom w:type="dxa" w:w="60"/>
              <w:right w:type="dxa" w:w="100"/>
            </w:tcMar>
          </w:tcPr>
          <w:p>
            <w:pPr>
              <w:spacing w:after="0" w:before="0"/>
            </w:pPr>
            <w:r>
              <w:rPr>
                <w:rFonts w:ascii="Calibri" w:cs="Calibri" w:eastAsia="Calibri" w:hAnsi="Calibri"/>
                <w:sz w:val="20"/>
                <w:szCs w:val="20"/>
              </w:rPr>
              <w:t xml:space="preserve">« Je n’ai pas le temps d’écrire des questions dans la marge. »</w:t>
            </w:r>
          </w:p>
        </w:tc>
        <w:tc>
          <w:tcPr>
            <w:tcW w:type="dxa" w:w="5000"/>
            <w:tcMar>
              <w:top w:type="dxa" w:w="60"/>
              <w:left w:type="dxa" w:w="100"/>
              <w:bottom w:type="dxa" w:w="60"/>
              <w:right w:type="dxa" w:w="100"/>
            </w:tcMar>
          </w:tcPr>
          <w:p>
            <w:pPr>
              <w:spacing w:after="0" w:before="0"/>
            </w:pPr>
            <w:r>
              <w:rPr>
                <w:rFonts w:ascii="Calibri" w:cs="Calibri" w:eastAsia="Calibri" w:hAnsi="Calibri"/>
                <w:sz w:val="20"/>
                <w:szCs w:val="20"/>
              </w:rPr>
              <w:t xml:space="preserve">Trois questions, c’est deux minutes en fin de cours ou le soir même. Vous venez de le faire en trois minutes, première fois comprise.</w:t>
            </w:r>
          </w:p>
        </w:tc>
      </w:tr>
      <w:tr>
        <w:tc>
          <w:tcPr>
            <w:tcW w:type="dxa" w:w="4700"/>
            <w:tcMar>
              <w:top w:type="dxa" w:w="60"/>
              <w:left w:type="dxa" w:w="100"/>
              <w:bottom w:type="dxa" w:w="60"/>
              <w:right w:type="dxa" w:w="100"/>
            </w:tcMar>
          </w:tcPr>
          <w:p>
            <w:pPr>
              <w:spacing w:after="0" w:before="0"/>
            </w:pPr>
            <w:r>
              <w:rPr>
                <w:rFonts w:ascii="Calibri" w:cs="Calibri" w:eastAsia="Calibri" w:hAnsi="Calibri"/>
                <w:sz w:val="20"/>
                <w:szCs w:val="20"/>
              </w:rPr>
              <w:t xml:space="preserve">« Moi, je retiens mieux en écoutant, sans rien noter. »</w:t>
            </w:r>
          </w:p>
        </w:tc>
        <w:tc>
          <w:tcPr>
            <w:tcW w:type="dxa" w:w="5000"/>
            <w:tcMar>
              <w:top w:type="dxa" w:w="60"/>
              <w:left w:type="dxa" w:w="100"/>
              <w:bottom w:type="dxa" w:w="60"/>
              <w:right w:type="dxa" w:w="100"/>
            </w:tcMar>
          </w:tcPr>
          <w:p>
            <w:pPr>
              <w:spacing w:after="0" w:before="0"/>
            </w:pPr>
            <w:r>
              <w:rPr>
                <w:rFonts w:ascii="Calibri" w:cs="Calibri" w:eastAsia="Calibri" w:hAnsi="Calibri"/>
                <w:sz w:val="20"/>
                <w:szCs w:val="20"/>
              </w:rPr>
              <w:t xml:space="preserve">Écouter sans trace, c’est n’avoir rien pour s’interroger dans quinze jours — exactement le problème constaté en début de séance. Noter, c’est déjà traiter l’information, et c’est préparer la révision.</w:t>
            </w:r>
          </w:p>
        </w:tc>
      </w:tr>
      <w:tr>
        <w:tc>
          <w:tcPr>
            <w:tcW w:type="dxa" w:w="4700"/>
            <w:tcMar>
              <w:top w:type="dxa" w:w="60"/>
              <w:left w:type="dxa" w:w="100"/>
              <w:bottom w:type="dxa" w:w="60"/>
              <w:right w:type="dxa" w:w="100"/>
            </w:tcMar>
          </w:tcPr>
          <w:p>
            <w:pPr>
              <w:spacing w:after="0" w:before="0"/>
            </w:pPr>
            <w:r>
              <w:rPr>
                <w:rFonts w:ascii="Calibri" w:cs="Calibri" w:eastAsia="Calibri" w:hAnsi="Calibri"/>
                <w:sz w:val="20"/>
                <w:szCs w:val="20"/>
              </w:rPr>
              <w:t xml:space="preserve">« Mon protocole écrans de 3e me suffit. »</w:t>
            </w:r>
          </w:p>
        </w:tc>
        <w:tc>
          <w:tcPr>
            <w:tcW w:type="dxa" w:w="5000"/>
            <w:tcMar>
              <w:top w:type="dxa" w:w="60"/>
              <w:left w:type="dxa" w:w="100"/>
              <w:bottom w:type="dxa" w:w="60"/>
              <w:right w:type="dxa" w:w="100"/>
            </w:tcMar>
          </w:tcPr>
          <w:p>
            <w:pPr>
              <w:spacing w:after="0" w:before="0"/>
            </w:pPr>
            <w:r>
              <w:rPr>
                <w:rFonts w:ascii="Calibri" w:cs="Calibri" w:eastAsia="Calibri" w:hAnsi="Calibri"/>
                <w:sz w:val="20"/>
                <w:szCs w:val="20"/>
              </w:rPr>
              <w:t xml:space="preserve">En 3e, une soirée de travail durait 30 à 60 minutes ; au lycée, c’est 2 à 3 heures, avec des pauses. Un protocole qui ne prévoit pas les pauses ne tient pas la distance : c’est précisément l’objet de la version 2.</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p>
      <w:pPr>
        <w:shd w:fill="F2F2F2" w:val="clear"/>
        <w:spacing w:after="120" w:before="0"/>
      </w:pPr>
      <w:r>
        <w:rPr>
          <w:rFonts w:ascii="Calibri" w:cs="Calibri" w:eastAsia="Calibri" w:hAnsi="Calibri"/>
          <w:b/>
          <w:bCs/>
          <w:sz w:val="22"/>
          <w:szCs w:val="22"/>
        </w:rPr>
        <w:t xml:space="preserve">« Je suis visuel / auditif / kinesthésique. » </w:t>
      </w:r>
      <w:r>
        <w:rPr>
          <w:rFonts w:ascii="Calibri" w:cs="Calibri" w:eastAsia="Calibri" w:hAnsi="Calibri"/>
          <w:sz w:val="22"/>
          <w:szCs w:val="22"/>
        </w:rPr>
        <w:t xml:space="preserve">Les « styles d’apprentissage » sont un neuromythe : adapter l’enseignement au style déclaré n’améliore pas l’apprentissage (Pashler et al., 2008). On apprend mieux avec les stratégies efficaces pour tous : se tester, espacer, varier.</w:t>
      </w:r>
    </w:p>
    <w:p>
      <w:pPr>
        <w:shd w:fill="F2F2F2" w:val="clear"/>
        <w:spacing w:after="12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L’imagerie cérébrale montre que l’ensemble du cerveau est actif, y compris pendant le sommeil.</w:t>
      </w:r>
    </w:p>
    <w:p>
      <w:pPr>
        <w:shd w:fill="F2F2F2" w:val="clear"/>
        <w:spacing w:after="120" w:before="0"/>
      </w:pPr>
      <w:r>
        <w:rPr>
          <w:rFonts w:ascii="Calibri" w:cs="Calibri" w:eastAsia="Calibri" w:hAnsi="Calibri"/>
          <w:b/>
          <w:bCs/>
          <w:sz w:val="22"/>
          <w:szCs w:val="22"/>
        </w:rPr>
        <w:t xml:space="preserve">« Je suis cerveau droit / cerveau gauche. » </w:t>
      </w:r>
      <w:r>
        <w:rPr>
          <w:rFonts w:ascii="Calibri" w:cs="Calibri" w:eastAsia="Calibri" w:hAnsi="Calibri"/>
          <w:sz w:val="22"/>
          <w:szCs w:val="22"/>
        </w:rPr>
        <w:t xml:space="preserve">Faux. Les deux hémisphères coopèrent en permanence ; il n’existe pas de profil « créatif » ou « logique » câblé.</w:t>
      </w:r>
    </w:p>
    <w:p>
      <w:pPr>
        <w:shd w:fill="F2F2F2" w:val="clear"/>
        <w:spacing w:after="12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Cela dépend des tâches : les paroles nuisent aux tâches verbales (lecture, rédaction, mémorisation de cours). À tester honnêtement sur ses propres résultats, pas sur son ressenti.</w:t>
      </w:r>
    </w:p>
    <w:p>
      <w:pPr>
        <w:shd w:fill="F2F2F2" w:val="clear"/>
        <w:spacing w:after="12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C’est l’illusion de fluence : ce qui est facile à relire semble su. La séance B (s’interroger au lieu de relire) le fait constater expérimentalement — la boucle de récupération d’aujourd’hui en est un avant-goût.</w:t>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Si vous êtes en retard à la minute 25 (fin de la phase 3) : </w:t>
      </w:r>
      <w:r>
        <w:rPr>
          <w:rFonts w:ascii="Calibri" w:cs="Calibri" w:eastAsia="Calibri" w:hAnsi="Calibri"/>
          <w:sz w:val="22"/>
          <w:szCs w:val="22"/>
        </w:rPr>
        <w:t xml:space="preserve">couper la mise en commun et projeter directement l’écran 7 des trois principes en les commentant 1 minute (gain : 2 minutes).</w:t>
      </w:r>
    </w:p>
    <w:p>
      <w:pPr>
        <w:spacing w:after="120" w:before="0"/>
      </w:pPr>
      <w:r>
        <w:rPr>
          <w:rFonts w:ascii="Calibri" w:cs="Calibri" w:eastAsia="Calibri" w:hAnsi="Calibri"/>
          <w:b/>
          <w:bCs/>
          <w:sz w:val="22"/>
          <w:szCs w:val="22"/>
        </w:rPr>
        <w:t xml:space="preserve">Si vous êtes en retard à la minute 40 (fin de la phase 5) : </w:t>
      </w:r>
      <w:r>
        <w:rPr>
          <w:rFonts w:ascii="Calibri" w:cs="Calibri" w:eastAsia="Calibri" w:hAnsi="Calibri"/>
          <w:sz w:val="22"/>
          <w:szCs w:val="22"/>
        </w:rPr>
        <w:t xml:space="preserve">réduire l’audit de la soirée à un repérage oral d’1 minute (« visualisez votre soirée d’hier ») et passer directement au protocole (gain : 3 minutes).</w:t>
      </w:r>
    </w:p>
    <w:p>
      <w:pPr>
        <w:shd w:fill="FDEAEA" w:val="clear"/>
        <w:spacing w:after="120" w:before="0"/>
      </w:pPr>
      <w:r>
        <w:rPr>
          <w:rFonts w:ascii="Calibri" w:cs="Calibri" w:eastAsia="Calibri" w:hAnsi="Calibri"/>
          <w:b/>
          <w:bCs/>
          <w:sz w:val="22"/>
          <w:szCs w:val="22"/>
        </w:rPr>
        <w:t xml:space="preserve">Ce qu’on ne coupe jamais : </w:t>
      </w:r>
      <w:r>
        <w:rPr>
          <w:rFonts w:ascii="Calibri" w:cs="Calibri" w:eastAsia="Calibri" w:hAnsi="Calibri"/>
          <w:sz w:val="22"/>
          <w:szCs w:val="22"/>
        </w:rPr>
        <w:t xml:space="preserve">l’essai 2 (c’est la mesure du progrès), la boucle de récupération de la phase 5 (c’est le test de la séance), la trace écrite et l’engagement de transfert.</w:t>
      </w:r>
    </w:p>
    <w:p>
      <w:pPr>
        <w:pStyle w:val="Heading1"/>
        <w:spacing w:after="140" w:before="260"/>
      </w:pPr>
      <w:r>
        <w:rPr>
          <w:rFonts w:ascii="Calibri" w:cs="Calibri" w:eastAsia="Calibri" w:hAnsi="Calibri"/>
          <w:b/>
          <w:bCs/>
          <w:color w:val="1F3864"/>
          <w:sz w:val="28"/>
          <w:szCs w:val="28"/>
        </w:rPr>
        <w:t xml:space="preserve">6. Écueils à éviter (consignes négatives)</w:t>
      </w:r>
    </w:p>
    <w:p>
      <w:pPr>
        <w:pStyle w:val="ListParagraph"/>
        <w:numPr>
          <w:ilvl w:val="0"/>
          <w:numId w:val="2"/>
        </w:numPr>
        <w:spacing w:after="120" w:before="0"/>
      </w:pPr>
      <w:r>
        <w:rPr>
          <w:rFonts w:ascii="Calibri" w:cs="Calibri" w:eastAsia="Calibri" w:hAnsi="Calibri"/>
          <w:sz w:val="22"/>
          <w:szCs w:val="22"/>
        </w:rPr>
        <w:t xml:space="preserve">Ne pas trancher le débat main/clavier : la recherche ne l’a pas tranché (réplications mitigées). Répondre uniquement sur le critère qui compte : des notes qui permettent de s’interroger.</w:t>
      </w:r>
    </w:p>
    <w:p>
      <w:pPr>
        <w:pStyle w:val="ListParagraph"/>
        <w:numPr>
          <w:ilvl w:val="0"/>
          <w:numId w:val="2"/>
        </w:numPr>
        <w:spacing w:after="120" w:before="0"/>
      </w:pPr>
      <w:r>
        <w:rPr>
          <w:rFonts w:ascii="Calibri" w:cs="Calibri" w:eastAsia="Calibri" w:hAnsi="Calibri"/>
          <w:sz w:val="22"/>
          <w:szCs w:val="22"/>
        </w:rPr>
        <w:t xml:space="preserve">Ne pas lire les capsules trop lentement : si les élèves copient mot à mot, le débit est trop bas et l’exercice ne mesure plus rien. Rythme de parole normal, sans répétition.</w:t>
      </w:r>
    </w:p>
    <w:p>
      <w:pPr>
        <w:pStyle w:val="ListParagraph"/>
        <w:numPr>
          <w:ilvl w:val="0"/>
          <w:numId w:val="2"/>
        </w:numPr>
        <w:spacing w:after="120" w:before="0"/>
      </w:pPr>
      <w:r>
        <w:rPr>
          <w:rFonts w:ascii="Calibri" w:cs="Calibri" w:eastAsia="Calibri" w:hAnsi="Calibri"/>
          <w:sz w:val="22"/>
          <w:szCs w:val="22"/>
        </w:rPr>
        <w:t xml:space="preserve">Ne pas laisser croire que le gabarit remplace les cours dictés : il s’applique aux cours non dictés ; pour les cours dictés, seule la marge de questions s’ajoute.</w:t>
      </w:r>
    </w:p>
    <w:p>
      <w:pPr>
        <w:pStyle w:val="ListParagraph"/>
        <w:numPr>
          <w:ilvl w:val="0"/>
          <w:numId w:val="2"/>
        </w:numPr>
        <w:spacing w:after="120" w:before="0"/>
      </w:pPr>
      <w:r>
        <w:rPr>
          <w:rFonts w:ascii="Calibri" w:cs="Calibri" w:eastAsia="Calibri" w:hAnsi="Calibri"/>
          <w:sz w:val="22"/>
          <w:szCs w:val="22"/>
        </w:rPr>
        <w:t xml:space="preserve">Ne pas commenter, noter ou classer les notes des élèves : la grille en binôme fait le diagnostic, le progrès entre les deux essais fait la démonstration.</w:t>
      </w:r>
    </w:p>
    <w:p>
      <w:pPr>
        <w:pStyle w:val="ListParagraph"/>
        <w:numPr>
          <w:ilvl w:val="0"/>
          <w:numId w:val="2"/>
        </w:numPr>
        <w:spacing w:after="120" w:before="0"/>
      </w:pPr>
      <w:r>
        <w:rPr>
          <w:rFonts w:ascii="Calibri" w:cs="Calibri" w:eastAsia="Calibri" w:hAnsi="Calibri"/>
          <w:sz w:val="22"/>
          <w:szCs w:val="22"/>
        </w:rPr>
        <w:t xml:space="preserve">Ne pas répéter pendant les capsules, même sur demande insistante : la non-répétition force la sélection de l’information, qui est l’objet de la séance.</w:t>
      </w:r>
    </w:p>
    <w:p>
      <w:pPr>
        <w:pStyle w:val="ListParagraph"/>
        <w:numPr>
          <w:ilvl w:val="0"/>
          <w:numId w:val="2"/>
        </w:numPr>
        <w:spacing w:after="120" w:before="0"/>
      </w:pPr>
      <w:r>
        <w:rPr>
          <w:rFonts w:ascii="Calibri" w:cs="Calibri" w:eastAsia="Calibri" w:hAnsi="Calibri"/>
          <w:sz w:val="22"/>
          <w:szCs w:val="22"/>
        </w:rPr>
        <w:t xml:space="preserve">Ne pas valider un protocole écrans sans pauses prévues : une soirée de 2–3 heures sans pause cadrée est une règle héroïque, donc morte.</w:t>
      </w:r>
    </w:p>
    <w:p>
      <w:pPr>
        <w:pStyle w:val="Heading1"/>
        <w:spacing w:after="140" w:before="260"/>
      </w:pPr>
      <w:r>
        <w:rPr>
          <w:rFonts w:ascii="Calibri" w:cs="Calibri" w:eastAsia="Calibri" w:hAnsi="Calibri"/>
          <w:b/>
          <w:bCs/>
          <w:color w:val="1F3864"/>
          <w:sz w:val="28"/>
          <w:szCs w:val="28"/>
        </w:rPr>
        <w:t xml:space="preserve">Annexe A · Capsule 1 à lire : « L’eau douce, une ressource sous pression »</w:t>
      </w:r>
    </w:p>
    <w:p>
      <w:pPr>
        <w:shd w:fill="DEEAF6" w:val="clear"/>
        <w:spacing w:after="120" w:before="0"/>
      </w:pPr>
      <w:r>
        <w:rPr>
          <w:rFonts w:ascii="Calibri" w:cs="Calibri" w:eastAsia="Calibri" w:hAnsi="Calibri"/>
          <w:b/>
          <w:bCs/>
          <w:sz w:val="22"/>
          <w:szCs w:val="22"/>
        </w:rPr>
        <w:t xml:space="preserve">Consigne de lecture : </w:t>
      </w:r>
      <w:r>
        <w:rPr>
          <w:rFonts w:ascii="Calibri" w:cs="Calibri" w:eastAsia="Calibri" w:hAnsi="Calibri"/>
          <w:sz w:val="22"/>
          <w:szCs w:val="22"/>
        </w:rPr>
        <w:t xml:space="preserve">rythme de parole normal, courte pause aux transitions en gras, aucune répétition, rien au tableau. Durée cible : 4 minutes.</w:t>
      </w:r>
    </w:p>
    <w:p>
      <w:pPr>
        <w:spacing w:after="120" w:before="0"/>
      </w:pPr>
      <w:r>
        <w:rPr>
          <w:rFonts w:ascii="Calibri" w:cs="Calibri" w:eastAsia="Calibri" w:hAnsi="Calibri"/>
          <w:sz w:val="22"/>
          <w:szCs w:val="22"/>
        </w:rPr>
        <w:t xml:space="preserve">Aujourd’hui, nous allons parler de l’eau douce dans le monde — une ressource que l’on croit abondante et qui ne l’est pas.</w:t>
      </w:r>
    </w:p>
    <w:p>
      <w:pPr>
        <w:spacing w:after="120" w:before="0"/>
      </w:pPr>
      <w:r>
        <w:rPr>
          <w:rFonts w:ascii="Calibri" w:cs="Calibri" w:eastAsia="Calibri" w:hAnsi="Calibri"/>
          <w:b/>
          <w:bCs/>
          <w:sz w:val="22"/>
          <w:szCs w:val="22"/>
        </w:rPr>
        <w:t xml:space="preserve">Premier point : une ressource rare et mal répartie. </w:t>
      </w:r>
      <w:r>
        <w:rPr>
          <w:rFonts w:ascii="Calibri" w:cs="Calibri" w:eastAsia="Calibri" w:hAnsi="Calibri"/>
          <w:sz w:val="22"/>
          <w:szCs w:val="22"/>
        </w:rPr>
        <w:t xml:space="preserve">L’eau recouvre environ 70 % de la surface de la Terre, mais l’essentiel est de l’eau salée. L’eau douce représente moins de 3 % de l’eau de la planète, et la plus grande partie est prisonnière des glaciers et des calottes polaires. L’eau douce réellement accessible — celle des lacs, des rivières et des nappes souterraines peu profondes — ne représente donc qu’une part infime du total. De plus, cette ressource est très inégalement répartie : une dizaine de pays, dont le Brésil, la Russie et le Canada, concentrent à eux seuls la majorité des réserves mondiales. À l’inverse, le Moyen-Orient et une grande partie de l’Afrique du Nord vivent en situation de pénurie chronique : moins de mille mètres cubes d’eau disponibles par habitant et par an, c’est le seuil habituel de la pénurie.</w:t>
      </w:r>
    </w:p>
    <w:p>
      <w:pPr>
        <w:spacing w:after="120" w:before="0"/>
      </w:pPr>
      <w:r>
        <w:rPr>
          <w:rFonts w:ascii="Calibri" w:cs="Calibri" w:eastAsia="Calibri" w:hAnsi="Calibri"/>
          <w:b/>
          <w:bCs/>
          <w:sz w:val="22"/>
          <w:szCs w:val="22"/>
        </w:rPr>
        <w:t xml:space="preserve">Deuxième point : à quoi sert cette eau ? </w:t>
      </w:r>
      <w:r>
        <w:rPr>
          <w:rFonts w:ascii="Calibri" w:cs="Calibri" w:eastAsia="Calibri" w:hAnsi="Calibri"/>
          <w:sz w:val="22"/>
          <w:szCs w:val="22"/>
        </w:rPr>
        <w:t xml:space="preserve">Contrairement à ce qu’on imagine, l’usage domestique — boire, cuisiner, se laver — ne représente qu’environ 10 % des prélèvements mondiaux. L’industrie en prélève environ 20 %. Le premier consommateur, de très loin, c’est l’agriculture : environ 70 % de l’eau douce prélevée dans le monde sert à irriguer les cultures et à abreuver le bétail. Produire un seul kilo de blé demande de l’ordre de mille litres d’eau. C’est ce que les géographes appellent l’eau virtuelle : l’eau invisible contenue dans les produits que nous consommons et que nous échangeons.</w:t>
      </w:r>
    </w:p>
    <w:p>
      <w:pPr>
        <w:spacing w:after="120" w:before="0"/>
      </w:pPr>
      <w:r>
        <w:rPr>
          <w:rFonts w:ascii="Calibri" w:cs="Calibri" w:eastAsia="Calibri" w:hAnsi="Calibri"/>
          <w:b/>
          <w:bCs/>
          <w:sz w:val="22"/>
          <w:szCs w:val="22"/>
        </w:rPr>
        <w:t xml:space="preserve">Troisième point : des tensions croissantes. </w:t>
      </w:r>
      <w:r>
        <w:rPr>
          <w:rFonts w:ascii="Calibri" w:cs="Calibri" w:eastAsia="Calibri" w:hAnsi="Calibri"/>
          <w:sz w:val="22"/>
          <w:szCs w:val="22"/>
        </w:rPr>
        <w:t xml:space="preserve">La demande en eau augmente avec la croissance de la population et l’élévation du niveau de vie, alors que la ressource, elle, n’augmente pas. Résultat : des tensions apparaissent entre les usages — faut-il donner la priorité aux villes ou aux agriculteurs ? — et entre les États. Quand un fleuve traverse plusieurs pays, celui qui est en amont peut contrôler le débit de ceux qui sont en aval. C’est le cas du Nil : les grands barrages construits en amont, notamment en Éthiopie, inquiètent l’Égypte, dont presque toute la population dépend du fleuve pour boire, cultiver et produire de l’électricité.</w:t>
      </w:r>
    </w:p>
    <w:p>
      <w:pPr>
        <w:spacing w:after="120" w:before="0"/>
      </w:pPr>
      <w:r>
        <w:rPr>
          <w:rFonts w:ascii="Calibri" w:cs="Calibri" w:eastAsia="Calibri" w:hAnsi="Calibri"/>
          <w:b/>
          <w:bCs/>
          <w:sz w:val="22"/>
          <w:szCs w:val="22"/>
        </w:rPr>
        <w:t xml:space="preserve">Pour conclure, </w:t>
      </w:r>
      <w:r>
        <w:rPr>
          <w:rFonts w:ascii="Calibri" w:cs="Calibri" w:eastAsia="Calibri" w:hAnsi="Calibri"/>
          <w:sz w:val="22"/>
          <w:szCs w:val="22"/>
        </w:rPr>
        <w:t xml:space="preserve">retenez trois idées : l’eau douce accessible est rare et mal répartie ; l’agriculture en est le premier consommateur, très loin devant les usages domestiques ; et cette ressource devient un enjeu de pouvoir, entre les usagers d’un même territoire comme entre les États.</w:t>
      </w:r>
    </w:p>
    <w:p>
      <w:pPr>
        <w:pStyle w:val="Heading1"/>
        <w:spacing w:after="140" w:before="260"/>
      </w:pPr>
      <w:r>
        <w:rPr>
          <w:rFonts w:ascii="Calibri" w:cs="Calibri" w:eastAsia="Calibri" w:hAnsi="Calibri"/>
          <w:b/>
          <w:bCs/>
          <w:color w:val="1F3864"/>
          <w:sz w:val="28"/>
          <w:szCs w:val="28"/>
        </w:rPr>
        <w:t xml:space="preserve">Annexe B · Capsule 2 à lire : « La déforestation dans le monde »</w:t>
      </w:r>
    </w:p>
    <w:p>
      <w:pPr>
        <w:shd w:fill="DEEAF6" w:val="clear"/>
        <w:spacing w:after="120" w:before="0"/>
      </w:pPr>
      <w:r>
        <w:rPr>
          <w:rFonts w:ascii="Calibri" w:cs="Calibri" w:eastAsia="Calibri" w:hAnsi="Calibri"/>
          <w:b/>
          <w:bCs/>
          <w:sz w:val="22"/>
          <w:szCs w:val="22"/>
        </w:rPr>
        <w:t xml:space="preserve">Consigne de lecture : </w:t>
      </w:r>
      <w:r>
        <w:rPr>
          <w:rFonts w:ascii="Calibri" w:cs="Calibri" w:eastAsia="Calibri" w:hAnsi="Calibri"/>
          <w:sz w:val="22"/>
          <w:szCs w:val="22"/>
        </w:rPr>
        <w:t xml:space="preserve">même rythme, mêmes règles que la capsule 1. Durée cible : 4 minutes. Les deux capsules sont calibrées pour être équivalentes en longueur et en structure (trois points + conclusion), afin que le progrès observé vienne de la méthode, pas du sujet.</w:t>
      </w:r>
    </w:p>
    <w:p>
      <w:pPr>
        <w:spacing w:after="120" w:before="0"/>
      </w:pPr>
      <w:r>
        <w:rPr>
          <w:rFonts w:ascii="Calibri" w:cs="Calibri" w:eastAsia="Calibri" w:hAnsi="Calibri"/>
          <w:sz w:val="22"/>
          <w:szCs w:val="22"/>
        </w:rPr>
        <w:t xml:space="preserve">Aujourd’hui, nous allons parler de la déforestation — le recul des forêts sous l’effet des activités humaines.</w:t>
      </w:r>
    </w:p>
    <w:p>
      <w:pPr>
        <w:spacing w:after="120" w:before="0"/>
      </w:pPr>
      <w:r>
        <w:rPr>
          <w:rFonts w:ascii="Calibri" w:cs="Calibri" w:eastAsia="Calibri" w:hAnsi="Calibri"/>
          <w:b/>
          <w:bCs/>
          <w:sz w:val="22"/>
          <w:szCs w:val="22"/>
        </w:rPr>
        <w:t xml:space="preserve">Premier point : de quoi parle-t-on, et à quelle échelle ? </w:t>
      </w:r>
      <w:r>
        <w:rPr>
          <w:rFonts w:ascii="Calibri" w:cs="Calibri" w:eastAsia="Calibri" w:hAnsi="Calibri"/>
          <w:sz w:val="22"/>
          <w:szCs w:val="22"/>
        </w:rPr>
        <w:t xml:space="preserve">Les forêts couvrent environ un tiers des terres émergées de la planète. La déforestation, c’est la conversion durable d’une forêt en un autre usage du sol : champ, pâturage, route, ville. Selon les estimations des organisations internationales, le monde perd chaque année de l’ordre de dix millions d’hectares de forêt — à peu près la superficie d’un pays comme le Portugal. Ce recul ne touche pas toutes les régions de la même façon : les forêts des zones tempérées, en Europe par exemple, sont globalement stables, voire en légère progression. L’essentiel des pertes se concentre dans les forêts tropicales : bassin amazonien, bassin du Congo, Asie du Sud-Est.</w:t>
      </w:r>
    </w:p>
    <w:p>
      <w:pPr>
        <w:spacing w:after="120" w:before="0"/>
      </w:pPr>
      <w:r>
        <w:rPr>
          <w:rFonts w:ascii="Calibri" w:cs="Calibri" w:eastAsia="Calibri" w:hAnsi="Calibri"/>
          <w:b/>
          <w:bCs/>
          <w:sz w:val="22"/>
          <w:szCs w:val="22"/>
        </w:rPr>
        <w:t xml:space="preserve">Deuxième point : quelles sont les causes ? </w:t>
      </w:r>
      <w:r>
        <w:rPr>
          <w:rFonts w:ascii="Calibri" w:cs="Calibri" w:eastAsia="Calibri" w:hAnsi="Calibri"/>
          <w:sz w:val="22"/>
          <w:szCs w:val="22"/>
        </w:rPr>
        <w:t xml:space="preserve">La première cause, de très loin, est agricole : on défriche pour créer des pâturages destinés à l’élevage, et des plantations — soja, huile de palme, cacao — destinées en grande partie à l’exportation. Viennent ensuite l’exploitation du bois, légale ou illégale, l’ouverture de routes et de mines, et l’étalement des villes. Autrement dit, une partie de la déforestation tropicale est liée à la consommation des pays riches : c’est ce qu’on appelle la déforestation importée.</w:t>
      </w:r>
    </w:p>
    <w:p>
      <w:pPr>
        <w:spacing w:after="120" w:before="0"/>
      </w:pPr>
      <w:r>
        <w:rPr>
          <w:rFonts w:ascii="Calibri" w:cs="Calibri" w:eastAsia="Calibri" w:hAnsi="Calibri"/>
          <w:b/>
          <w:bCs/>
          <w:sz w:val="22"/>
          <w:szCs w:val="22"/>
        </w:rPr>
        <w:t xml:space="preserve">Troisième point : quelles conséquences ? </w:t>
      </w:r>
      <w:r>
        <w:rPr>
          <w:rFonts w:ascii="Calibri" w:cs="Calibri" w:eastAsia="Calibri" w:hAnsi="Calibri"/>
          <w:sz w:val="22"/>
          <w:szCs w:val="22"/>
        </w:rPr>
        <w:t xml:space="preserve">Elles sont de trois ordres. Pour la biodiversité d’abord : les forêts tropicales abritent la majorité des espèces terrestres connues ; détruire leur habitat, c’est les faire disparaître. Pour le climat ensuite : les arbres stockent du carbone ; les couper et les brûler le relâche dans l’atmosphère, ce qui aggrave le réchauffement. Pour les populations locales enfin : des millions de personnes, dont de nombreux peuples autochtones, dépendent directement de la forêt pour se nourrir, se soigner et vivre. En Amazonie, la déforestation menace en plus le cycle de l’eau : la forêt fabrique une partie de ses propres pluies, et son recul assèche la région.</w:t>
      </w:r>
    </w:p>
    <w:p>
      <w:pPr>
        <w:spacing w:after="120" w:before="0"/>
      </w:pPr>
      <w:r>
        <w:rPr>
          <w:rFonts w:ascii="Calibri" w:cs="Calibri" w:eastAsia="Calibri" w:hAnsi="Calibri"/>
          <w:b/>
          <w:bCs/>
          <w:sz w:val="22"/>
          <w:szCs w:val="22"/>
        </w:rPr>
        <w:t xml:space="preserve">Pour conclure, </w:t>
      </w:r>
      <w:r>
        <w:rPr>
          <w:rFonts w:ascii="Calibri" w:cs="Calibri" w:eastAsia="Calibri" w:hAnsi="Calibri"/>
          <w:sz w:val="22"/>
          <w:szCs w:val="22"/>
        </w:rPr>
        <w:t xml:space="preserve">retenez trois idées : la déforestation se concentre aujourd’hui dans les forêts tropicales ; sa première cause est l’agriculture, en partie tirée par nos importations ; et ses conséquences touchent à la fois la biodiversité, le climat et les populations qui vivent de la forêt.</w:t>
      </w:r>
    </w:p>
    <w:p>
      <w:pPr>
        <w:pStyle w:val="Heading1"/>
        <w:spacing w:after="140" w:before="260"/>
      </w:pPr>
      <w:r>
        <w:rPr>
          <w:rFonts w:ascii="Calibri" w:cs="Calibri" w:eastAsia="Calibri" w:hAnsi="Calibri"/>
          <w:b/>
          <w:bCs/>
          <w:color w:val="1F3864"/>
          <w:sz w:val="28"/>
          <w:szCs w:val="28"/>
        </w:rPr>
        <w:t xml:space="preserve">Message ENT type (à envoyer la veille)</w:t>
      </w:r>
    </w:p>
    <w:p>
      <w:pPr>
        <w:shd w:fill="F2F2F2" w:val="clear"/>
        <w:spacing w:after="120" w:before="0"/>
      </w:pPr>
      <w:r>
        <w:rPr>
          <w:rFonts w:ascii="Calibri" w:cs="Calibri" w:eastAsia="Calibri" w:hAnsi="Calibri"/>
          <w:i/>
          <w:iCs/>
          <w:sz w:val="22"/>
          <w:szCs w:val="22"/>
        </w:rPr>
        <w:t xml:space="preserve">« Bonjour à tous. Demain, en vie de classe, séance “Apprendre à apprendre” sur la prise de notes et l’organisation du travail au lycée. Merci d’apporter : votre cahier ou classeur d’une matière au choix, et votre carnet de méthodes (pour ceux qui étaient au collège Stanislas : avec votre protocole écrans de 3e). De quoi écrire, comme toujours. À demain. »</w:t>
      </w:r>
    </w:p>
    <w:p>
      <w:pPr>
        <w:pStyle w:val="Heading1"/>
        <w:spacing w:after="140" w:before="260"/>
      </w:pPr>
      <w:r>
        <w:rPr>
          <w:rFonts w:ascii="Calibri" w:cs="Calibri" w:eastAsia="Calibri" w:hAnsi="Calibri"/>
          <w:b/>
          <w:bCs/>
          <w:color w:val="1F3864"/>
          <w:sz w:val="28"/>
          <w:szCs w:val="28"/>
        </w:rPr>
        <w:t xml:space="preserve">Rappel · Rituel « météo du transfert » à J+7 (3 à 5 minutes, vie de classe suivante)</w:t>
      </w:r>
    </w:p>
    <w:p>
      <w:pPr>
        <w:pStyle w:val="ListParagraph"/>
        <w:numPr>
          <w:ilvl w:val="0"/>
          <w:numId w:val="2"/>
        </w:numPr>
        <w:spacing w:after="120" w:before="0"/>
      </w:pPr>
      <w:r>
        <w:rPr>
          <w:rFonts w:ascii="Calibri" w:cs="Calibri" w:eastAsia="Calibri" w:hAnsi="Calibri"/>
          <w:sz w:val="22"/>
          <w:szCs w:val="22"/>
        </w:rPr>
        <w:t xml:space="preserve">1. Question fermée à main levée : « Qui a tenu l’engagement au moins 5 jours sur 7 ? » (comptage rapide, sans stigmatisation).</w:t>
      </w:r>
    </w:p>
    <w:p>
      <w:pPr>
        <w:pStyle w:val="ListParagraph"/>
        <w:numPr>
          <w:ilvl w:val="0"/>
          <w:numId w:val="2"/>
        </w:numPr>
        <w:spacing w:after="120" w:before="0"/>
      </w:pPr>
      <w:r>
        <w:rPr>
          <w:rFonts w:ascii="Calibri" w:cs="Calibri" w:eastAsia="Calibri" w:hAnsi="Calibri"/>
          <w:sz w:val="22"/>
          <w:szCs w:val="22"/>
        </w:rPr>
        <w:t xml:space="preserve">2. Deux témoignages volontaires : un obstacle rencontré, une astuce qui a fonctionné.</w:t>
      </w:r>
    </w:p>
    <w:p>
      <w:pPr>
        <w:pStyle w:val="ListParagraph"/>
        <w:numPr>
          <w:ilvl w:val="0"/>
          <w:numId w:val="2"/>
        </w:numPr>
        <w:spacing w:after="120" w:before="0"/>
      </w:pPr>
      <w:r>
        <w:rPr>
          <w:rFonts w:ascii="Calibri" w:cs="Calibri" w:eastAsia="Calibri" w:hAnsi="Calibri"/>
          <w:sz w:val="22"/>
          <w:szCs w:val="22"/>
        </w:rPr>
        <w:t xml:space="preserve">3. Relance : reformulation de l’engagement pour la semaine suivante ; les élèves cochent dans le carnet de méthodes.</w:t>
      </w:r>
    </w:p>
    <w:p>
      <w:pPr>
        <w:spacing w:after="120" w:before="0"/>
      </w:pPr>
      <w:r>
        <w:rPr>
          <w:rFonts w:ascii="Calibri" w:cs="Calibri" w:eastAsia="Calibri" w:hAnsi="Calibri"/>
          <w:b/>
          <w:bCs/>
          <w:sz w:val="22"/>
          <w:szCs w:val="22"/>
        </w:rPr>
        <w:t xml:space="preserve">Suivi complémentaire propre à A2 : </w:t>
      </w:r>
      <w:r>
        <w:rPr>
          <w:rFonts w:ascii="Calibri" w:cs="Calibri" w:eastAsia="Calibri" w:hAnsi="Calibri"/>
          <w:sz w:val="22"/>
          <w:szCs w:val="22"/>
        </w:rPr>
        <w:t xml:space="preserve">regard bienveillant sur 3 cahiers volontaires (le gabarit est-il utilisé ? la marge contient-elle des questions ?). Pas de note, pas de classement.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2026-07-13T21:55:25.740Z</dcterms:created>
  <dcterms:modified xsi:type="dcterms:W3CDTF">2026-07-13T21:55:25.763Z</dcterms:modified>
</cp:coreProperties>
</file>

<file path=docProps/custom.xml><?xml version="1.0" encoding="utf-8"?>
<Properties xmlns="http://schemas.openxmlformats.org/officeDocument/2006/custom-properties" xmlns:vt="http://schemas.openxmlformats.org/officeDocument/2006/docPropsVTypes"/>
</file>