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Calibri" w:cs="Calibri" w:eastAsia="Calibri" w:hAnsi="Calibri"/>
          <w:color w:val="7F7F7F"/>
          <w:sz w:val="18"/>
          <w:szCs w:val="18"/>
        </w:rPr>
        <w:t xml:space="preserve">Dispositif « Apprendre à apprendre » · Institut Stanislas de Cannes</w:t>
      </w:r>
    </w:p>
    <w:p>
      <w:pPr>
        <w:spacing w:after="40"/>
      </w:pPr>
      <w:r>
        <w:rPr>
          <w:rFonts w:ascii="Calibri" w:cs="Calibri" w:eastAsia="Calibri" w:hAnsi="Calibri"/>
          <w:b/>
          <w:bCs/>
          <w:color w:val="1F3864"/>
          <w:sz w:val="32"/>
          <w:szCs w:val="32"/>
        </w:rPr>
        <w:t xml:space="preserve">Séance D3 · Se mettre en conditions : sujets, chrono, grille — Terminale</w:t>
      </w:r>
    </w:p>
    <w:p>
      <w:pPr>
        <w:pBdr>
          <w:bottom w:val="single" w:color="1F3864" w:sz="8" w:space="6"/>
        </w:pBdr>
        <w:spacing w:after="200" w:before="0"/>
      </w:pPr>
      <w:r>
        <w:rPr>
          <w:rFonts w:ascii="Calibri" w:cs="Calibri" w:eastAsia="Calibri" w:hAnsi="Calibri"/>
          <w:i/>
          <w:iCs/>
          <w:color w:val="595959"/>
          <w:sz w:val="22"/>
          <w:szCs w:val="22"/>
        </w:rPr>
        <w:t xml:space="preserve">Livrable 1 · Guide d’animation du professeur principal — lecture : 15 minutes · novembre</w:t>
      </w:r>
    </w:p>
    <w:p>
      <w:pPr>
        <w:pStyle w:val="Heading1"/>
        <w:spacing w:after="140" w:before="26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Piliers dominants : </w:t>
      </w:r>
      <w:r>
        <w:rPr>
          <w:rFonts w:ascii="Calibri" w:cs="Calibri" w:eastAsia="Calibri" w:hAnsi="Calibri"/>
          <w:sz w:val="22"/>
          <w:szCs w:val="22"/>
        </w:rPr>
        <w:t xml:space="preserve">engagement actif — « Je n’apprends que si je fais l’effort de chercher » · retour d’information — « L’erreur est une information, pas une punition ».</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chaque élève (1) a traité une partie d’épreuve en conditions réelles (28 minutes, sans document, au propre), (2) s’est auto-évalué avec une grille critère par critère puis le corrigé, (3) a daté son cycle personnel « un sujet blanc par quinzaine et par spécialité, un sujet de philosophie par mois » jusqu’aux écrits.</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se tester en conditions est la déclinaison la plus exigeante du practice testing, classé en utilité élevée (Dunlosky et al., 2013 — solidement établi). Le feedback n’agit que s’il est traité par l’élève, et une grille de critères oriente ce traitement (Hattie &amp; Timperley, 2007 — établi). Bénéfice secondaire documenté : l’entraînement en conditions réduit l’anxiété d’évaluation — le présenter comme un bénéfice constaté, sans avancer de chiffre.</w:t>
      </w:r>
    </w:p>
    <w:p>
      <w:pPr>
        <w:spacing w:after="120" w:before="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environ 87 % du temps (norme du dispositif : ≥ 60 %).</w:t>
      </w:r>
    </w:p>
    <w:p>
      <w:pPr>
        <w:spacing w:after="120" w:before="0"/>
      </w:pPr>
      <w:r>
        <w:rPr>
          <w:rFonts w:ascii="Calibri" w:cs="Calibri" w:eastAsia="Calibri" w:hAnsi="Calibri"/>
          <w:b/>
          <w:bCs/>
          <w:sz w:val="22"/>
          <w:szCs w:val="22"/>
        </w:rPr>
        <w:t xml:space="preserve">Liens avec les séances antérieures : </w:t>
      </w:r>
      <w:r>
        <w:rPr>
          <w:rFonts w:ascii="Calibri" w:cs="Calibri" w:eastAsia="Calibri" w:hAnsi="Calibri"/>
          <w:sz w:val="22"/>
          <w:szCs w:val="22"/>
        </w:rPr>
        <w:t xml:space="preserve">le diagnostic « connaissance / méthode / temps » prolonge la typologie des erreurs (E1, vécue en 2de). Le cycle de sujets blancs s’inscrit dans les créneaux de la semaine type C4 et se vérifie au rendez-vous mensuel C4. Chaque sujet met à jour la matrice de maîtrise B4 : un chapitre raté redescend en « je crois savoir » et repasse en tête des cycles de réactivation. Repère réglementaire identique à C4/B4, revérifié ce jour : philosophie le 14 juin 2027, écrits de spécialité les 15–17 juin 2027 — dates annoncées, à confirmer au B.O.</w:t>
      </w:r>
    </w:p>
    <w:tbl>
      <w:tblPr>
        <w:tblW w:type="dxa" w:w="9200"/>
        <w:tblBorders>
          <w:top w:val="single" w:color="C00000" w:sz="12"/>
          <w:left w:val="single" w:color="C00000" w:sz="12"/>
          <w:bottom w:val="single" w:color="C00000" w:sz="12"/>
          <w:right w:val="single" w:color="C00000" w:sz="12"/>
          <w:insideH w:val="single" w:color="C00000" w:sz="12"/>
          <w:insideV w:val="single" w:color="C00000" w:sz="12"/>
        </w:tblBorders>
      </w:tblPr>
      <w:tblGrid>
        <w:gridCol w:w="9200"/>
      </w:tblGrid>
      <w:tr>
        <w:tc>
          <w:tcPr>
            <w:tcW w:type="dxa" w:w="9200"/>
            <w:shd w:fill="FDEDED" w:val="clear"/>
            <w:tcMar>
              <w:top w:type="dxa" w:w="110"/>
              <w:left w:type="dxa" w:w="150"/>
              <w:bottom w:type="dxa" w:w="110"/>
              <w:right w:type="dxa" w:w="150"/>
            </w:tcMar>
          </w:tcPr>
          <w:p>
            <w:pPr>
              <w:spacing w:after="70" w:before="0"/>
            </w:pPr>
            <w:r>
              <w:rPr>
                <w:rFonts w:ascii="Calibri" w:cs="Calibri" w:eastAsia="Calibri" w:hAnsi="Calibri"/>
                <w:b/>
                <w:bCs/>
                <w:sz w:val="21"/>
                <w:szCs w:val="21"/>
              </w:rPr>
              <w:t xml:space="preserve">À SE PROCURER LOCALEMENT AVANT LA SÉANCE</w:t>
            </w:r>
          </w:p>
          <w:p>
            <w:pPr>
              <w:spacing w:after="70" w:before="0"/>
            </w:pPr>
            <w:r>
              <w:rPr>
                <w:rFonts w:ascii="Calibri" w:cs="Calibri" w:eastAsia="Calibri" w:hAnsi="Calibri"/>
                <w:sz w:val="21"/>
                <w:szCs w:val="21"/>
              </w:rPr>
              <w:t xml:space="preserve">– Grilles ou attendus officiels de correction pour chaque spécialité représentée dans la classe (auprès des enseignants de spécialité, ou via les annales et leurs éléments de correction). Indispensables pour le cycle personnel ; utiles dès la séance si un enseignant a fourni son propre micro-sujet.</w:t>
            </w:r>
          </w:p>
          <w:p>
            <w:pPr>
              <w:spacing w:after="70" w:before="0"/>
            </w:pPr>
            <w:r>
              <w:rPr>
                <w:rFonts w:ascii="Calibri" w:cs="Calibri" w:eastAsia="Calibri" w:hAnsi="Calibri"/>
                <w:sz w:val="21"/>
                <w:szCs w:val="21"/>
              </w:rPr>
              <w:t xml:space="preserve">– Micro-sujets complémentaires (≈ 28 min + corrigé) pour les spécialités non couvertes par le kit. Le kit couvre : mathématiques (variante scientifique), HGGSP (variante littéraire-SHS) et philosophie (option commune, utilisable par tous). Message type aux enseignants en fin de guide.</w:t>
            </w:r>
          </w:p>
          <w:p>
            <w:pPr>
              <w:spacing w:after="70" w:before="0"/>
            </w:pPr>
            <w:r>
              <w:rPr>
                <w:rFonts w:ascii="Calibri" w:cs="Calibri" w:eastAsia="Calibri" w:hAnsi="Calibri"/>
                <w:sz w:val="21"/>
                <w:szCs w:val="21"/>
              </w:rPr>
              <w:t xml:space="preserve">– Une copie double par élève · un chronomètre projetable.</w:t>
            </w:r>
          </w:p>
          <w:p>
            <w:pPr>
              <w:spacing w:after="70" w:before="0"/>
            </w:pPr>
            <w:r>
              <w:rPr>
                <w:rFonts w:ascii="Calibri" w:cs="Calibri" w:eastAsia="Calibri" w:hAnsi="Calibri"/>
                <w:sz w:val="21"/>
                <w:szCs w:val="21"/>
              </w:rPr>
              <w:t xml:space="preserve">– Rappel ENT la veille (message type en fin de guide) : apporter carnet de méthodes, agenda et planning d’année C4. Aucun cours, aucune fiche : tout se fait de mémoire.</w:t>
            </w:r>
          </w:p>
          <w:p>
            <w:pPr>
              <w:spacing w:after="0" w:before="0"/>
            </w:pPr>
            <w:r>
              <w:rPr>
                <w:rFonts w:ascii="Calibri" w:cs="Calibri" w:eastAsia="Calibri" w:hAnsi="Calibri"/>
                <w:sz w:val="21"/>
                <w:szCs w:val="21"/>
              </w:rPr>
              <w:t xml:space="preserve">– Photocopies : 1 micro-sujet par élève selon ses spécialités + la page « corrigé + grille » correspondante + la fiche cycle + la trace écrite (règles de distribution : page de garde des supports).</w:t>
            </w:r>
          </w:p>
        </w:tc>
      </w:tr>
    </w:tbl>
    <w:p>
      <w:pPr>
        <w:spacing w:after="40" w:before="0"/>
      </w:pPr>
      <w:r>
        <w:rPr>
          <w:rFonts w:ascii="Calibri" w:cs="Calibri" w:eastAsia="Calibri" w:hAnsi="Calibri"/>
          <w:sz w:val="6"/>
          <w:szCs w:val="6"/>
        </w:rPr>
        <w:t xml:space="preserve"/>
      </w:r>
    </w:p>
    <w:p>
      <w:pPr>
        <w:pStyle w:val="Heading2"/>
        <w:spacing w:after="100" w:before="200"/>
      </w:pPr>
      <w:r>
        <w:rPr>
          <w:rFonts w:ascii="Calibri" w:cs="Calibri" w:eastAsia="Calibri" w:hAnsi="Calibri"/>
          <w:b/>
          <w:bCs/>
          <w:color w:val="2E5395"/>
          <w:sz w:val="24"/>
          <w:szCs w:val="24"/>
        </w:rPr>
        <w:t xml:space="preserve">Minutage récapitulatif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50"/>
        <w:gridCol w:w="5250"/>
        <w:gridCol w:w="1350"/>
        <w:gridCol w:w="1650"/>
      </w:tblGrid>
      <w:tr>
        <w:trPr>
          <w:tblHeader/>
        </w:trPr>
        <w:tc>
          <w:tcPr>
            <w:tcW w:type="dxa" w:w="950"/>
            <w:shd w:fill="DEEAF6" w:val="clear"/>
            <w:tcMar>
              <w:top w:type="dxa" w:w="70"/>
              <w:left w:type="dxa" w:w="110"/>
              <w:bottom w:type="dxa" w:w="70"/>
              <w:right w:type="dxa" w:w="110"/>
            </w:tcMar>
            <w:vAlign w:val="center"/>
          </w:tcPr>
          <w:p>
            <w:pPr>
              <w:spacing w:after="0" w:before="0"/>
            </w:pPr>
            <w:r>
              <w:rPr>
                <w:rFonts w:ascii="Calibri" w:cs="Calibri" w:eastAsia="Calibri" w:hAnsi="Calibri"/>
                <w:b/>
                <w:bCs/>
                <w:sz w:val="20"/>
                <w:szCs w:val="20"/>
              </w:rPr>
              <w:t xml:space="preserve">Min</w:t>
            </w:r>
          </w:p>
        </w:tc>
        <w:tc>
          <w:tcPr>
            <w:tcW w:type="dxa" w:w="5250"/>
            <w:shd w:fill="DEEAF6" w:val="clear"/>
            <w:tcMar>
              <w:top w:type="dxa" w:w="70"/>
              <w:left w:type="dxa" w:w="110"/>
              <w:bottom w:type="dxa" w:w="70"/>
              <w:right w:type="dxa" w:w="110"/>
            </w:tcMar>
            <w:vAlign w:val="center"/>
          </w:tcPr>
          <w:p>
            <w:pPr>
              <w:spacing w:after="0" w:before="0"/>
            </w:pPr>
            <w:r>
              <w:rPr>
                <w:rFonts w:ascii="Calibri" w:cs="Calibri" w:eastAsia="Calibri" w:hAnsi="Calibri"/>
                <w:b/>
                <w:bCs/>
                <w:sz w:val="20"/>
                <w:szCs w:val="20"/>
              </w:rPr>
              <w:t xml:space="preserve">Phase</w:t>
            </w:r>
          </w:p>
        </w:tc>
        <w:tc>
          <w:tcPr>
            <w:tcW w:type="dxa" w:w="1350"/>
            <w:shd w:fill="DEEAF6" w:val="clear"/>
            <w:tcMar>
              <w:top w:type="dxa" w:w="70"/>
              <w:left w:type="dxa" w:w="110"/>
              <w:bottom w:type="dxa" w:w="70"/>
              <w:right w:type="dxa" w:w="110"/>
            </w:tcMar>
            <w:vAlign w:val="center"/>
          </w:tcPr>
          <w:p>
            <w:pPr>
              <w:spacing w:after="0" w:before="0"/>
            </w:pPr>
            <w:r>
              <w:rPr>
                <w:rFonts w:ascii="Calibri" w:cs="Calibri" w:eastAsia="Calibri" w:hAnsi="Calibri"/>
                <w:b/>
                <w:bCs/>
                <w:sz w:val="20"/>
                <w:szCs w:val="20"/>
              </w:rPr>
              <w:t xml:space="preserve">Modalité</w:t>
            </w:r>
          </w:p>
        </w:tc>
        <w:tc>
          <w:tcPr>
            <w:tcW w:type="dxa" w:w="1650"/>
            <w:shd w:fill="DEEAF6" w:val="clear"/>
            <w:tcMar>
              <w:top w:type="dxa" w:w="70"/>
              <w:left w:type="dxa" w:w="110"/>
              <w:bottom w:type="dxa" w:w="70"/>
              <w:right w:type="dxa" w:w="110"/>
            </w:tcMar>
            <w:vAlign w:val="center"/>
          </w:tcPr>
          <w:p>
            <w:pPr>
              <w:spacing w:after="0" w:before="0"/>
            </w:pPr>
            <w:r>
              <w:rPr>
                <w:rFonts w:ascii="Calibri" w:cs="Calibri" w:eastAsia="Calibri" w:hAnsi="Calibri"/>
                <w:b/>
                <w:bCs/>
                <w:sz w:val="20"/>
                <w:szCs w:val="20"/>
              </w:rPr>
              <w:t xml:space="preserve">Écrans</w:t>
            </w:r>
          </w:p>
        </w:tc>
      </w:tr>
      <w:tr>
        <w:tc>
          <w:tcPr>
            <w:tcW w:type="dxa" w:w="9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0–5</w:t>
            </w:r>
          </w:p>
        </w:tc>
        <w:tc>
          <w:tcPr>
            <w:tcW w:type="dxa" w:w="52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Cadre : pourquoi le sujet blanc auto-administré est l’entraînement le plus rentable ; conditions ; distribution face cachée</w:t>
            </w:r>
          </w:p>
        </w:tc>
        <w:tc>
          <w:tcPr>
            <w:tcW w:type="dxa" w:w="13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Classe</w:t>
            </w:r>
          </w:p>
        </w:tc>
        <w:tc>
          <w:tcPr>
            <w:tcW w:type="dxa" w:w="16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1–2</w:t>
            </w:r>
          </w:p>
        </w:tc>
      </w:tr>
      <w:tr>
        <w:tc>
          <w:tcPr>
            <w:tcW w:type="dxa" w:w="9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5–33</w:t>
            </w:r>
          </w:p>
        </w:tc>
        <w:tc>
          <w:tcPr>
            <w:tcW w:type="dxa" w:w="5250"/>
            <w:tcMar>
              <w:top w:type="dxa" w:w="70"/>
              <w:left w:type="dxa" w:w="110"/>
              <w:bottom w:type="dxa" w:w="70"/>
              <w:right w:type="dxa" w:w="110"/>
            </w:tcMar>
            <w:vAlign w:val="center"/>
          </w:tcPr>
          <w:p>
            <w:pPr>
              <w:spacing w:after="0" w:before="0"/>
            </w:pPr>
            <w:r>
              <w:rPr>
                <w:rFonts w:ascii="Calibri" w:cs="Calibri" w:eastAsia="Calibri" w:hAnsi="Calibri"/>
                <w:b/>
                <w:bCs/>
                <w:sz w:val="20"/>
                <w:szCs w:val="20"/>
              </w:rPr>
              <w:t xml:space="preserve">Partie d’épreuve en conditions réelles — 28 minutes, silence, sans document, au propre</w:t>
            </w:r>
          </w:p>
        </w:tc>
        <w:tc>
          <w:tcPr>
            <w:tcW w:type="dxa" w:w="13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Individuel</w:t>
            </w:r>
          </w:p>
        </w:tc>
        <w:tc>
          <w:tcPr>
            <w:tcW w:type="dxa" w:w="16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3</w:t>
            </w:r>
          </w:p>
        </w:tc>
      </w:tr>
      <w:tr>
        <w:tc>
          <w:tcPr>
            <w:tcW w:type="dxa" w:w="9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33–40</w:t>
            </w:r>
          </w:p>
        </w:tc>
        <w:tc>
          <w:tcPr>
            <w:tcW w:type="dxa" w:w="52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Auto-évaluation : grille critère par critère, puis comparaison au corrigé</w:t>
            </w:r>
          </w:p>
        </w:tc>
        <w:tc>
          <w:tcPr>
            <w:tcW w:type="dxa" w:w="13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Individuel</w:t>
            </w:r>
          </w:p>
        </w:tc>
        <w:tc>
          <w:tcPr>
            <w:tcW w:type="dxa" w:w="16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4</w:t>
            </w:r>
          </w:p>
        </w:tc>
      </w:tr>
      <w:tr>
        <w:tc>
          <w:tcPr>
            <w:tcW w:type="dxa" w:w="9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40–43</w:t>
            </w:r>
          </w:p>
        </w:tc>
        <w:tc>
          <w:tcPr>
            <w:tcW w:type="dxa" w:w="52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Diagnostic forcé : « ce qui m’a manqué : connaissance, méthode ou temps ? »</w:t>
            </w:r>
          </w:p>
        </w:tc>
        <w:tc>
          <w:tcPr>
            <w:tcW w:type="dxa" w:w="13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Individuel</w:t>
            </w:r>
          </w:p>
        </w:tc>
        <w:tc>
          <w:tcPr>
            <w:tcW w:type="dxa" w:w="16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5</w:t>
            </w:r>
          </w:p>
        </w:tc>
      </w:tr>
      <w:tr>
        <w:tc>
          <w:tcPr>
            <w:tcW w:type="dxa" w:w="9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43–45</w:t>
            </w:r>
          </w:p>
        </w:tc>
        <w:tc>
          <w:tcPr>
            <w:tcW w:type="dxa" w:w="52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Nommage : pourquoi ça marche — et pourquoi c’est le meilleur anti-stress</w:t>
            </w:r>
          </w:p>
        </w:tc>
        <w:tc>
          <w:tcPr>
            <w:tcW w:type="dxa" w:w="13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Classe</w:t>
            </w:r>
          </w:p>
        </w:tc>
        <w:tc>
          <w:tcPr>
            <w:tcW w:type="dxa" w:w="16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6–7</w:t>
            </w:r>
          </w:p>
        </w:tc>
      </w:tr>
      <w:tr>
        <w:tc>
          <w:tcPr>
            <w:tcW w:type="dxa" w:w="9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45–52</w:t>
            </w:r>
          </w:p>
        </w:tc>
        <w:tc>
          <w:tcPr>
            <w:tcW w:type="dxa" w:w="52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Programmation : « un sujet par quinzaine et par spécialité » jusqu’aux écrits</w:t>
            </w:r>
          </w:p>
        </w:tc>
        <w:tc>
          <w:tcPr>
            <w:tcW w:type="dxa" w:w="13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Individuel</w:t>
            </w:r>
          </w:p>
        </w:tc>
        <w:tc>
          <w:tcPr>
            <w:tcW w:type="dxa" w:w="16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8</w:t>
            </w:r>
          </w:p>
        </w:tc>
      </w:tr>
      <w:tr>
        <w:tc>
          <w:tcPr>
            <w:tcW w:type="dxa" w:w="9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52–55</w:t>
            </w:r>
          </w:p>
        </w:tc>
        <w:tc>
          <w:tcPr>
            <w:tcW w:type="dxa" w:w="52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Trace écrite + engagement J+14</w:t>
            </w:r>
          </w:p>
        </w:tc>
        <w:tc>
          <w:tcPr>
            <w:tcW w:type="dxa" w:w="13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Individuel</w:t>
            </w:r>
          </w:p>
        </w:tc>
        <w:tc>
          <w:tcPr>
            <w:tcW w:type="dxa" w:w="165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9</w:t>
            </w:r>
          </w:p>
        </w:tc>
      </w:tr>
    </w:tbl>
    <w:p>
      <w:r>
        <w:br w:type="page"/>
      </w:r>
    </w:p>
    <w:p>
      <w:pPr>
        <w:pStyle w:val="Heading1"/>
        <w:spacing w:after="140" w:before="260"/>
      </w:pPr>
      <w:r>
        <w:rPr>
          <w:rFonts w:ascii="Calibri" w:cs="Calibri" w:eastAsia="Calibri" w:hAnsi="Calibri"/>
          <w:b/>
          <w:bCs/>
          <w:color w:val="1F3864"/>
          <w:sz w:val="28"/>
          <w:szCs w:val="28"/>
        </w:rPr>
        <w:t xml:space="preserve">2. Script phase par phase</w:t>
      </w:r>
    </w:p>
    <w:p>
      <w:pPr>
        <w:pStyle w:val="Heading2"/>
        <w:spacing w:after="100" w:before="200"/>
      </w:pPr>
      <w:r>
        <w:rPr>
          <w:rFonts w:ascii="Calibri" w:cs="Calibri" w:eastAsia="Calibri" w:hAnsi="Calibri"/>
          <w:b/>
          <w:bCs/>
          <w:color w:val="2E5395"/>
          <w:sz w:val="24"/>
          <w:szCs w:val="24"/>
        </w:rPr>
        <w:t xml:space="preserve">Phase 1 · 0–5 · Cadre et conditions (écrans 1–2)</w:t>
      </w:r>
    </w:p>
    <w:p>
      <w:pPr>
        <w:spacing w:after="120" w:before="0"/>
      </w:pPr>
      <w:r>
        <w:rPr>
          <w:rFonts w:ascii="Calibri" w:cs="Calibri" w:eastAsia="Calibri" w:hAnsi="Calibri"/>
          <w:i/>
          <w:iCs/>
          <w:sz w:val="22"/>
          <w:szCs w:val="22"/>
        </w:rPr>
        <w:t xml:space="preserve">Pendant que vous parlez, distribuez les micro-sujets face cachée (répartition décidée avant la séance : mathématiques aux élèves qui suivent la spécialité maths, HGGSP à ceux qui la suivent, philosophie à tous les autres — ou le sujet remis par l’enseignant de spécialité). Une copie double par élève.</w:t>
      </w:r>
    </w:p>
    <w:p>
      <w:pPr>
        <w:spacing w:after="120" w:before="0"/>
      </w:pPr>
      <w:r>
        <w:rPr>
          <w:rFonts w:ascii="Calibri" w:cs="Calibri" w:eastAsia="Calibri" w:hAnsi="Calibri"/>
          <w:b/>
          <w:bCs/>
          <w:sz w:val="22"/>
          <w:szCs w:val="22"/>
        </w:rPr>
        <w:t xml:space="preserve">Verbatim de lancement : </w:t>
      </w:r>
      <w:r>
        <w:rPr>
          <w:rFonts w:ascii="Calibri" w:cs="Calibri" w:eastAsia="Calibri" w:hAnsi="Calibri"/>
          <w:i/>
          <w:iCs/>
          <w:sz w:val="22"/>
          <w:szCs w:val="22"/>
        </w:rPr>
        <w:t xml:space="preserve">« D’ici juin, l’entraînement le plus rentable n’est pas une relecture de plus : c’est un sujet traité en conditions, puis corrigé par vous, grille en main. Vous allez le faire une fois ici, encadrés. À partir d’aujourd’hui, vous saurez le refaire seuls — et vous le referez, un sujet par quinzaine. Les conditions, maintenant : 28 minutes, silence complet, aucun document, au propre sur la copie. Sacs fermés. Comme le jour J. »</w:t>
      </w:r>
    </w:p>
    <w:p>
      <w:pPr>
        <w:spacing w:after="120" w:before="0"/>
      </w:pPr>
      <w:r>
        <w:rPr>
          <w:rFonts w:ascii="Calibri" w:cs="Calibri" w:eastAsia="Calibri" w:hAnsi="Calibri"/>
          <w:b/>
          <w:bCs/>
          <w:sz w:val="22"/>
          <w:szCs w:val="22"/>
        </w:rPr>
        <w:t xml:space="preserve">Objection immédiate prévisible — « on peut réviser deux minutes ? » : </w:t>
      </w:r>
      <w:r>
        <w:rPr>
          <w:rFonts w:ascii="Calibri" w:cs="Calibri" w:eastAsia="Calibri" w:hAnsi="Calibri"/>
          <w:i w:val="false"/>
          <w:iCs w:val="false"/>
          <w:sz w:val="22"/>
          <w:szCs w:val="22"/>
        </w:rPr>
        <w:t xml:space="preserve">« Non. Le jour J non plus. C’est précisément ce qu’on mesure : ce qui tient sans filet. » Aucune négociation, aucun débat : le cadre se pose en cinq minutes maximum.</w:t>
      </w:r>
    </w:p>
    <w:p>
      <w:pPr>
        <w:pStyle w:val="Heading2"/>
        <w:spacing w:after="100" w:before="200"/>
      </w:pPr>
      <w:r>
        <w:rPr>
          <w:rFonts w:ascii="Calibri" w:cs="Calibri" w:eastAsia="Calibri" w:hAnsi="Calibri"/>
          <w:b/>
          <w:bCs/>
          <w:color w:val="2E5395"/>
          <w:sz w:val="24"/>
          <w:szCs w:val="24"/>
        </w:rPr>
        <w:t xml:space="preserve">Phase 2 · 5–33 · Conditions réelles — protocole strict (écran 3)</w:t>
      </w:r>
    </w:p>
    <w:p>
      <w:pPr>
        <w:spacing w:after="120" w:before="0"/>
      </w:pPr>
      <w:r>
        <w:rPr>
          <w:rFonts w:ascii="Calibri" w:cs="Calibri" w:eastAsia="Calibri" w:hAnsi="Calibri"/>
          <w:b/>
          <w:bCs/>
          <w:sz w:val="22"/>
          <w:szCs w:val="22"/>
        </w:rPr>
        <w:t xml:space="preserve">Le protocole suivant est à appliquer à la lettre : c’est lui qui fait la valeur de la séance.</w:t>
      </w:r>
    </w:p>
    <w:p>
      <w:pPr>
        <w:pStyle w:val="ListParagraph"/>
        <w:numPr>
          <w:ilvl w:val="0"/>
          <w:numId w:val="2"/>
        </w:numPr>
        <w:spacing w:after="120" w:before="0"/>
      </w:pPr>
      <w:r>
        <w:rPr>
          <w:rFonts w:ascii="Calibri" w:cs="Calibri" w:eastAsia="Calibri" w:hAnsi="Calibri"/>
          <w:sz w:val="22"/>
          <w:szCs w:val="22"/>
        </w:rPr>
        <w:t xml:space="preserve">1. Tables nues : le sujet (face cachée), la copie, de quoi écrire. Rien d’autre. Le micro-sujet de mathématiques du kit se traite sans calculatrice.</w:t>
      </w:r>
    </w:p>
    <w:p>
      <w:pPr>
        <w:pStyle w:val="ListParagraph"/>
        <w:numPr>
          <w:ilvl w:val="0"/>
          <w:numId w:val="2"/>
        </w:numPr>
        <w:spacing w:after="120" w:before="0"/>
      </w:pPr>
      <w:r>
        <w:rPr>
          <w:rFonts w:ascii="Calibri" w:cs="Calibri" w:eastAsia="Calibri" w:hAnsi="Calibri"/>
          <w:sz w:val="22"/>
          <w:szCs w:val="22"/>
        </w:rPr>
        <w:t xml:space="preserve">2. Lancez le chronomètre projeté à 28:00 : « Retournez le sujet. C’est parti. »</w:t>
      </w:r>
    </w:p>
    <w:p>
      <w:pPr>
        <w:pStyle w:val="ListParagraph"/>
        <w:numPr>
          <w:ilvl w:val="0"/>
          <w:numId w:val="2"/>
        </w:numPr>
        <w:spacing w:after="120" w:before="0"/>
      </w:pPr>
      <w:r>
        <w:rPr>
          <w:rFonts w:ascii="Calibri" w:cs="Calibri" w:eastAsia="Calibri" w:hAnsi="Calibri"/>
          <w:sz w:val="22"/>
          <w:szCs w:val="22"/>
        </w:rPr>
        <w:t xml:space="preserve">3. Pendant les 28 minutes : aucune réponse aux questions de contenu ou de méthode. Une seule phrase autorisée : « Comme le jour J : débrouillez-vous avec le sujet. » Circulez en silence ; vérifiez les tables et les téléphones rangés.</w:t>
      </w:r>
    </w:p>
    <w:p>
      <w:pPr>
        <w:pStyle w:val="ListParagraph"/>
        <w:numPr>
          <w:ilvl w:val="0"/>
          <w:numId w:val="2"/>
        </w:numPr>
        <w:spacing w:after="120" w:before="0"/>
      </w:pPr>
      <w:r>
        <w:rPr>
          <w:rFonts w:ascii="Calibri" w:cs="Calibri" w:eastAsia="Calibri" w:hAnsi="Calibri"/>
          <w:sz w:val="22"/>
          <w:szCs w:val="22"/>
        </w:rPr>
        <w:t xml:space="preserve">4. Deux annonces, à voix neutre : « mi-temps » à 14 minutes restantes, « cinq minutes » à 5 minutes de la fin.</w:t>
      </w:r>
    </w:p>
    <w:p>
      <w:pPr>
        <w:pStyle w:val="ListParagraph"/>
        <w:numPr>
          <w:ilvl w:val="0"/>
          <w:numId w:val="2"/>
        </w:numPr>
        <w:spacing w:after="120" w:before="0"/>
      </w:pPr>
      <w:r>
        <w:rPr>
          <w:rFonts w:ascii="Calibri" w:cs="Calibri" w:eastAsia="Calibri" w:hAnsi="Calibri"/>
          <w:sz w:val="22"/>
          <w:szCs w:val="22"/>
        </w:rPr>
        <w:t xml:space="preserve">5. À zéro : « Stylos posés. » Aucune prolongation, pas même « une phrase » : la gestion du temps fait partie de ce qu’on entraîne.</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des copies inégales et des élèves frustrés de ne pas avoir fini. C’est une information (colonne « temps » du diagnostic), pas un incident. Ne consolez pas, n’ajustez pas : exploitez en phase 3.</w:t>
      </w:r>
    </w:p>
    <w:p>
      <w:pPr>
        <w:pStyle w:val="Heading2"/>
        <w:spacing w:after="100" w:before="200"/>
      </w:pPr>
      <w:r>
        <w:rPr>
          <w:rFonts w:ascii="Calibri" w:cs="Calibri" w:eastAsia="Calibri" w:hAnsi="Calibri"/>
          <w:b/>
          <w:bCs/>
          <w:color w:val="2E5395"/>
          <w:sz w:val="24"/>
          <w:szCs w:val="24"/>
        </w:rPr>
        <w:t xml:space="preserve">Phase 3 · 33–45 · Auto-évaluation critériée, diagnostic, nommage (écrans 4–7)</w:t>
      </w:r>
    </w:p>
    <w:p>
      <w:pPr>
        <w:spacing w:after="120" w:before="0"/>
      </w:pPr>
      <w:r>
        <w:rPr>
          <w:rFonts w:ascii="Calibri" w:cs="Calibri" w:eastAsia="Calibri" w:hAnsi="Calibri"/>
          <w:b/>
          <w:bCs/>
          <w:sz w:val="22"/>
          <w:szCs w:val="22"/>
        </w:rPr>
        <w:t xml:space="preserve">33–40 — grille puis corrigé (7 min). </w:t>
      </w:r>
      <w:r>
        <w:rPr>
          <w:rFonts w:ascii="Calibri" w:cs="Calibri" w:eastAsia="Calibri" w:hAnsi="Calibri"/>
          <w:i/>
          <w:iCs/>
          <w:sz w:val="22"/>
          <w:szCs w:val="22"/>
        </w:rPr>
        <w:t xml:space="preserve">Distribuez seulement maintenant les pages « corrigé + grille ». Verbatim : « Vous changez de chaise : vous étiez candidat, vous voilà correcteur. Grille en main, critère par critère. La règle : je coche ce que ma copie contient — pas ce que j’avais dans la tête. Un critère coché, c’est une preuve que je peux montrer du doigt sur la copie. Ensuite, comparez au corrigé. »</w:t>
      </w:r>
    </w:p>
    <w:p>
      <w:pPr>
        <w:spacing w:after="120" w:before="0"/>
      </w:pPr>
      <w:r>
        <w:rPr>
          <w:rFonts w:ascii="Calibri" w:cs="Calibri" w:eastAsia="Calibri" w:hAnsi="Calibri"/>
          <w:b/>
          <w:bCs/>
          <w:sz w:val="22"/>
          <w:szCs w:val="22"/>
        </w:rPr>
        <w:t xml:space="preserve">Relances en circulant (anti-complaisance) : </w:t>
      </w:r>
      <w:r>
        <w:rPr>
          <w:rFonts w:ascii="Calibri" w:cs="Calibri" w:eastAsia="Calibri" w:hAnsi="Calibri"/>
          <w:sz w:val="22"/>
          <w:szCs w:val="22"/>
        </w:rPr>
        <w:t xml:space="preserve">« Montre-moi où. » · « “Je le savais mais je ne l’ai pas écrit” : ce n’est pas sur la copie, donc le correcteur ne le verra pas non plus. »</w:t>
      </w:r>
    </w:p>
    <w:p>
      <w:pPr>
        <w:spacing w:after="120" w:before="0"/>
      </w:pPr>
      <w:r>
        <w:rPr>
          <w:rFonts w:ascii="Calibri" w:cs="Calibri" w:eastAsia="Calibri" w:hAnsi="Calibri"/>
          <w:b/>
          <w:bCs/>
          <w:sz w:val="22"/>
          <w:szCs w:val="22"/>
        </w:rPr>
        <w:t xml:space="preserve">40–43 — diagnostic forcé (3 min). </w:t>
      </w:r>
      <w:r>
        <w:rPr>
          <w:rFonts w:ascii="Calibri" w:cs="Calibri" w:eastAsia="Calibri" w:hAnsi="Calibri"/>
          <w:i w:val="false"/>
          <w:iCs w:val="false"/>
          <w:sz w:val="22"/>
          <w:szCs w:val="22"/>
        </w:rPr>
        <w:t xml:space="preserve">Verbatim : « Une seule case : qu’est-ce qui vous a manqué d’abord — la connaissance, la méthode, ou le temps ? Une case, une ligne de justification. Si vous hésitez entre deux, prenez celle qui a coûté le plus de points. » Connaissance et méthode sont les familles connues depuis E1 ; le temps est la famille de Terminale.</w:t>
      </w:r>
    </w:p>
    <w:p>
      <w:pPr>
        <w:spacing w:after="120" w:before="0"/>
      </w:pPr>
      <w:r>
        <w:rPr>
          <w:rFonts w:ascii="Calibri" w:cs="Calibri" w:eastAsia="Calibri" w:hAnsi="Calibri"/>
          <w:b/>
          <w:bCs/>
          <w:sz w:val="22"/>
          <w:szCs w:val="22"/>
        </w:rPr>
        <w:t xml:space="preserve">43–45 — nommage (2 min maximum, écrans 6–7). </w:t>
      </w:r>
      <w:r>
        <w:rPr>
          <w:rFonts w:ascii="Calibri" w:cs="Calibri" w:eastAsia="Calibri" w:hAnsi="Calibri"/>
          <w:i w:val="false"/>
          <w:iCs w:val="false"/>
          <w:sz w:val="22"/>
          <w:szCs w:val="22"/>
        </w:rPr>
        <w:t xml:space="preserve">Verbatim : « Ce que vous venez de faire — vous tester en conditions puis vous corriger par critères — est la stratégie la mieux validée par la recherche. Facile à l’entraînement ne veut pas dire prêt le jour J. Et il y a un bénéfice secondaire : plus on s’expose aux conditions, moins elles impressionnent. Le sujet blanc est le meilleur anti-stress de l’année — l’évitement, lui, entretient le stress. » Sources à l’écran en petit corps ; pas de chiffres, pas de cours sur le cerveau.</w:t>
      </w:r>
    </w:p>
    <w:p>
      <w:pPr>
        <w:pStyle w:val="Heading2"/>
        <w:spacing w:after="100" w:before="200"/>
      </w:pPr>
      <w:r>
        <w:rPr>
          <w:rFonts w:ascii="Calibri" w:cs="Calibri" w:eastAsia="Calibri" w:hAnsi="Calibri"/>
          <w:b/>
          <w:bCs/>
          <w:color w:val="2E5395"/>
          <w:sz w:val="24"/>
          <w:szCs w:val="24"/>
        </w:rPr>
        <w:t xml:space="preserve">Phase 4 · 45–52 · Programmation du cycle (écran 8)</w:t>
      </w:r>
    </w:p>
    <w:p>
      <w:pPr>
        <w:spacing w:after="120" w:before="0"/>
      </w:pPr>
      <w:r>
        <w:rPr>
          <w:rFonts w:ascii="Calibri" w:cs="Calibri" w:eastAsia="Calibri" w:hAnsi="Calibri"/>
          <w:b/>
          <w:bCs/>
          <w:sz w:val="22"/>
          <w:szCs w:val="22"/>
        </w:rPr>
        <w:t xml:space="preserve">Verbatim : </w:t>
      </w:r>
      <w:r>
        <w:rPr>
          <w:rFonts w:ascii="Calibri" w:cs="Calibri" w:eastAsia="Calibri" w:hAnsi="Calibri"/>
          <w:i/>
          <w:iCs/>
          <w:sz w:val="22"/>
          <w:szCs w:val="22"/>
        </w:rPr>
        <w:t xml:space="preserve">« Ce que vous avez fait en quarante minutes, vous le referez seuls : un sujet par quinzaine et par spécialité, un sujet de philosophie par mois, jusqu’aux écrits. Agenda et planning C4 ouverts : on date, maintenant. Une séance sans date n’existe pas. »</w:t>
      </w:r>
    </w:p>
    <w:p>
      <w:pPr>
        <w:pStyle w:val="ListParagraph"/>
        <w:numPr>
          <w:ilvl w:val="0"/>
          <w:numId w:val="2"/>
        </w:numPr>
        <w:spacing w:after="120" w:before="0"/>
      </w:pPr>
      <w:r>
        <w:rPr>
          <w:rFonts w:ascii="Calibri" w:cs="Calibri" w:eastAsia="Calibri" w:hAnsi="Calibri"/>
          <w:sz w:val="22"/>
          <w:szCs w:val="22"/>
        </w:rPr>
        <w:t xml:space="preserve">Exigez pour chaque sujet : un jour, une heure, dans un créneau existant de la semaine type C4, et la source du sujet écrite (annales des sessions précédentes, y compris centres étrangers ; sujets zéro et banques officielles Éduscol ; sujets remis par les enseignants). Refusez « pendant les vacances » et « quand j’aurai le temps ».</w:t>
      </w:r>
    </w:p>
    <w:p>
      <w:pPr>
        <w:pStyle w:val="ListParagraph"/>
        <w:numPr>
          <w:ilvl w:val="0"/>
          <w:numId w:val="2"/>
        </w:numPr>
        <w:spacing w:after="120" w:before="0"/>
      </w:pPr>
      <w:r>
        <w:rPr>
          <w:rFonts w:ascii="Calibri" w:cs="Calibri" w:eastAsia="Calibri" w:hAnsi="Calibri"/>
          <w:sz w:val="22"/>
          <w:szCs w:val="22"/>
        </w:rPr>
        <w:t xml:space="preserve">Articulez avec B4 : « chaque sujet met à jour votre matrice — un chapitre raté redescend en “je crois savoir” et repasse en tête de vos cycles de réactivation ».</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au minimum les deux premières quinzaines datées (un sujet par spécialité et le premier sujet de philosophie), sources identifiées. Le reste de la fiche se termine à la maison et se vérifie à la météo.</w:t>
      </w:r>
    </w:p>
    <w:p>
      <w:pPr>
        <w:pStyle w:val="Heading2"/>
        <w:spacing w:after="100" w:before="200"/>
      </w:pPr>
      <w:r>
        <w:rPr>
          <w:rFonts w:ascii="Calibri" w:cs="Calibri" w:eastAsia="Calibri" w:hAnsi="Calibri"/>
          <w:b/>
          <w:bCs/>
          <w:color w:val="2E5395"/>
          <w:sz w:val="24"/>
          <w:szCs w:val="24"/>
        </w:rPr>
        <w:t xml:space="preserve">Phase 5 · 52–55 · Trace écrite et engagement (écran 9)</w:t>
      </w:r>
    </w:p>
    <w:p>
      <w:pPr>
        <w:spacing w:after="120" w:before="0"/>
      </w:pPr>
      <w:r>
        <w:rPr>
          <w:rFonts w:ascii="Calibri" w:cs="Calibri" w:eastAsia="Calibri" w:hAnsi="Calibri"/>
          <w:b/>
          <w:bCs/>
          <w:sz w:val="22"/>
          <w:szCs w:val="22"/>
        </w:rPr>
        <w:t xml:space="preserve">Verbatim : </w:t>
      </w:r>
      <w:r>
        <w:rPr>
          <w:rFonts w:ascii="Calibri" w:cs="Calibri" w:eastAsia="Calibri" w:hAnsi="Calibri"/>
          <w:i/>
          <w:iCs/>
          <w:sz w:val="22"/>
          <w:szCs w:val="22"/>
        </w:rPr>
        <w:t xml:space="preserve">« Carnet de méthodes : votre diagnostic du jour et votre calendrier de sujets blancs. Puis l’engagement, au format habituel : avant J+14, je traite mon premier sujet blanc en conditions, et je le corrige à la grille dans la foulée. »</w:t>
      </w:r>
    </w:p>
    <w:p>
      <w:pPr>
        <w:spacing w:after="120" w:before="0"/>
      </w:pPr>
      <w:r>
        <w:rPr>
          <w:rFonts w:ascii="Calibri" w:cs="Calibri" w:eastAsia="Calibri" w:hAnsi="Calibri"/>
          <w:sz w:val="22"/>
          <w:szCs w:val="22"/>
        </w:rPr>
        <w:t xml:space="preserve">Annoncez le suivi : météo du transfert à la prochaine vie de classe, puis tableau déclaratif mensuel « qui a fait son sujet ? », sans note et sans classement, adossé au rendez-vous mensuel C4 / point matrice B4.</w:t>
      </w:r>
    </w:p>
    <w:p>
      <w:pPr>
        <w:pStyle w:val="Heading2"/>
        <w:spacing w:after="100" w:before="200"/>
      </w:pPr>
      <w:r>
        <w:rPr>
          <w:rFonts w:ascii="Calibri" w:cs="Calibri" w:eastAsia="Calibri" w:hAnsi="Calibri"/>
          <w:b/>
          <w:bCs/>
          <w:color w:val="2E5395"/>
          <w:sz w:val="24"/>
          <w:szCs w:val="24"/>
        </w:rPr>
        <w:t xml:space="preserve">Suivi après la séance</w:t>
      </w:r>
    </w:p>
    <w:p>
      <w:pPr>
        <w:spacing w:after="120" w:before="0"/>
      </w:pPr>
      <w:r>
        <w:rPr>
          <w:rFonts w:ascii="Calibri" w:cs="Calibri" w:eastAsia="Calibri" w:hAnsi="Calibri"/>
          <w:b/>
          <w:bCs/>
          <w:sz w:val="22"/>
          <w:szCs w:val="22"/>
        </w:rPr>
        <w:t xml:space="preserve">Météo du transfert (rituel standard, 3–5 min à la vie de classe suivante) : </w:t>
      </w:r>
      <w:r>
        <w:rPr>
          <w:rFonts w:ascii="Calibri" w:cs="Calibri" w:eastAsia="Calibri" w:hAnsi="Calibri"/>
          <w:sz w:val="22"/>
          <w:szCs w:val="22"/>
        </w:rPr>
        <w:t xml:space="preserve">(1) main levée : « qui a déjà daté tout son cycle ? qui a fait — ou calé — son premier sujet ? », comptage rapide sans stigmatisation ; (2) deux témoignages volontaires : un obstacle, une astuce ; (3) relance : chacun reformule son engagement pour la semaine et coche dans le carnet.</w:t>
      </w:r>
    </w:p>
    <w:p>
      <w:pPr>
        <w:spacing w:after="120" w:before="0"/>
      </w:pPr>
      <w:r>
        <w:rPr>
          <w:rFonts w:ascii="Calibri" w:cs="Calibri" w:eastAsia="Calibri" w:hAnsi="Calibri"/>
          <w:b/>
          <w:bCs/>
          <w:sz w:val="22"/>
          <w:szCs w:val="22"/>
        </w:rPr>
        <w:t xml:space="preserve">Suivi complémentaire spécifique : </w:t>
      </w:r>
      <w:r>
        <w:rPr>
          <w:rFonts w:ascii="Calibri" w:cs="Calibri" w:eastAsia="Calibri" w:hAnsi="Calibri"/>
          <w:sz w:val="22"/>
          <w:szCs w:val="22"/>
        </w:rPr>
        <w:t xml:space="preserve">chaque mois jusqu’aux écrits, au point mensuel C4/B4, tableau déclaratif à main levée : « sujets faits ce mois-ci : spécialité 1 …/2 · spécialité 2 …/2 · philosophie …/1 ». Déclaratif, jamais noté : une note tuerait l’honnêteté du dispositif.</w:t>
      </w:r>
    </w:p>
    <w:p>
      <w:r>
        <w:br w:type="page"/>
      </w:r>
    </w:p>
    <w:p>
      <w:pPr>
        <w:pStyle w:val="Heading1"/>
        <w:spacing w:after="140" w:before="260"/>
      </w:pPr>
      <w:r>
        <w:rPr>
          <w:rFonts w:ascii="Calibri" w:cs="Calibri" w:eastAsia="Calibri" w:hAnsi="Calibri"/>
          <w:b/>
          <w:bCs/>
          <w:color w:val="1F3864"/>
          <w:sz w:val="28"/>
          <w:szCs w:val="28"/>
        </w:rPr>
        <w:t xml:space="preserve">3. Réponses aux objections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5900"/>
      </w:tblGrid>
      <w:tr>
        <w:trPr>
          <w:tblHeader/>
        </w:trPr>
        <w:tc>
          <w:tcPr>
            <w:tcW w:type="dxa" w:w="3300"/>
            <w:shd w:fill="DEEAF6" w:val="clear"/>
            <w:tcMar>
              <w:top w:type="dxa" w:w="70"/>
              <w:left w:type="dxa" w:w="110"/>
              <w:bottom w:type="dxa" w:w="70"/>
              <w:right w:type="dxa" w:w="110"/>
            </w:tcMar>
            <w:vAlign w:val="center"/>
          </w:tcPr>
          <w:p>
            <w:pPr>
              <w:spacing w:after="0" w:before="0"/>
            </w:pPr>
            <w:r>
              <w:rPr>
                <w:rFonts w:ascii="Calibri" w:cs="Calibri" w:eastAsia="Calibri" w:hAnsi="Calibri"/>
                <w:b/>
                <w:bCs/>
                <w:sz w:val="20"/>
                <w:szCs w:val="20"/>
              </w:rPr>
              <w:t xml:space="preserve">Objection</w:t>
            </w:r>
          </w:p>
        </w:tc>
        <w:tc>
          <w:tcPr>
            <w:tcW w:type="dxa" w:w="5900"/>
            <w:shd w:fill="DEEAF6" w:val="clear"/>
            <w:tcMar>
              <w:top w:type="dxa" w:w="70"/>
              <w:left w:type="dxa" w:w="110"/>
              <w:bottom w:type="dxa" w:w="70"/>
              <w:right w:type="dxa" w:w="110"/>
            </w:tcMar>
            <w:vAlign w:val="center"/>
          </w:tcPr>
          <w:p>
            <w:pPr>
              <w:spacing w:after="0" w:before="0"/>
            </w:pPr>
            <w:r>
              <w:rPr>
                <w:rFonts w:ascii="Calibri" w:cs="Calibri" w:eastAsia="Calibri" w:hAnsi="Calibri"/>
                <w:b/>
                <w:bCs/>
                <w:sz w:val="20"/>
                <w:szCs w:val="20"/>
              </w:rPr>
              <w:t xml:space="preserve">Réponse en une phrase (adossée au vécu, pas à l’autorité)</w:t>
            </w:r>
          </w:p>
        </w:tc>
      </w:tr>
      <w:tr>
        <w:tc>
          <w:tcPr>
            <w:tcW w:type="dxa" w:w="330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 Je n’ai pas révisé ce chapitre, ce n’est pas juste. »</w:t>
            </w:r>
          </w:p>
        </w:tc>
        <w:tc>
          <w:tcPr>
            <w:tcW w:type="dxa" w:w="590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C’est exactement l’information cherchée : ce qui tient aujourd’hui, sans révision de veille. Le jour J ne préviendra pas davantage. Et à la maison, vous choisirez vos sujets sur les chapitres déjà traités.</w:t>
            </w:r>
          </w:p>
        </w:tc>
      </w:tr>
      <w:tr>
        <w:tc>
          <w:tcPr>
            <w:tcW w:type="dxa" w:w="330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 28 minutes, ce n’est pas une vraie épreuve. »</w:t>
            </w:r>
          </w:p>
        </w:tc>
        <w:tc>
          <w:tcPr>
            <w:tcW w:type="dxa" w:w="590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C’est une partie d’épreuve, calibrée : le geste — chrono, sans document, au propre — est identique. À la maison, vous monterez progressivement vers l’épreuve complète.</w:t>
            </w:r>
          </w:p>
        </w:tc>
      </w:tr>
      <w:tr>
        <w:tc>
          <w:tcPr>
            <w:tcW w:type="dxa" w:w="330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 Me corriger moi-même, je vais me tromper. »</w:t>
            </w:r>
          </w:p>
        </w:tc>
        <w:tc>
          <w:tcPr>
            <w:tcW w:type="dxa" w:w="590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La grille fait vérifier des critères observables sur la copie, pas une impression — et vous comparez au corrigé. C’est moins fin qu’un professeur, mais un retour n’agit que si c’est vous qui le traitez : c’est tout l’objet.</w:t>
            </w:r>
          </w:p>
        </w:tc>
      </w:tr>
      <w:tr>
        <w:tc>
          <w:tcPr>
            <w:tcW w:type="dxa" w:w="330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 Faire des sujets me stresse. »</w:t>
            </w:r>
          </w:p>
        </w:tc>
        <w:tc>
          <w:tcPr>
            <w:tcW w:type="dxa" w:w="590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L’évitement entretient le stress ; l’exposition répétée aux conditions le fait baisser. Vous venez de survivre au premier — le deuxième impressionnera déjà moins.</w:t>
            </w:r>
          </w:p>
        </w:tc>
      </w:tr>
      <w:tr>
        <w:tc>
          <w:tcPr>
            <w:tcW w:type="dxa" w:w="330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 Je préfère finir de réviser tout le cours d’abord. »</w:t>
            </w:r>
          </w:p>
        </w:tc>
        <w:tc>
          <w:tcPr>
            <w:tcW w:type="dxa" w:w="5900"/>
            <w:tcMar>
              <w:top w:type="dxa" w:w="70"/>
              <w:left w:type="dxa" w:w="110"/>
              <w:bottom w:type="dxa" w:w="70"/>
              <w:right w:type="dxa" w:w="110"/>
            </w:tcMar>
            <w:vAlign w:val="center"/>
          </w:tcPr>
          <w:p>
            <w:pPr>
              <w:spacing w:after="0" w:before="0"/>
            </w:pPr>
            <w:r>
              <w:rPr>
                <w:rFonts w:ascii="Calibri" w:cs="Calibri" w:eastAsia="Calibri" w:hAnsi="Calibri"/>
                <w:sz w:val="20"/>
                <w:szCs w:val="20"/>
              </w:rPr>
              <w:t xml:space="preserve">Vous n’aurez jamais « fini ». Le sujet vous dit précisément quoi réviser : il vient avant, pas après. Regardez votre diagnostic d’aujourd’hui — c’est lui qui a parlé.</w:t>
            </w:r>
          </w:p>
        </w:tc>
      </w:tr>
    </w:tbl>
    <w:p>
      <w:pPr>
        <w:pStyle w:val="Heading1"/>
        <w:spacing w:after="140" w:before="260"/>
      </w:pPr>
      <w:r>
        <w:rPr>
          <w:rFonts w:ascii="Calibri" w:cs="Calibri" w:eastAsia="Calibri" w:hAnsi="Calibri"/>
          <w:b/>
          <w:bCs/>
          <w:color w:val="1F3864"/>
          <w:sz w:val="28"/>
          <w:szCs w:val="28"/>
        </w:rPr>
        <w:t xml:space="preserve">4. Encart « idées reçues » (commun à tous les guides du dispositif)</w:t>
      </w:r>
    </w:p>
    <w:tbl>
      <w:tblPr>
        <w:tblW w:type="dxa" w:w="9200"/>
        <w:tblBorders>
          <w:top w:val="single" w:color="2E5395" w:sz="12"/>
          <w:left w:val="single" w:color="2E5395" w:sz="12"/>
          <w:bottom w:val="single" w:color="2E5395" w:sz="12"/>
          <w:right w:val="single" w:color="2E5395" w:sz="12"/>
          <w:insideH w:val="single" w:color="2E5395" w:sz="12"/>
          <w:insideV w:val="single" w:color="2E5395" w:sz="12"/>
        </w:tblBorders>
      </w:tblPr>
      <w:tblGrid>
        <w:gridCol w:w="9200"/>
      </w:tblGrid>
      <w:tr>
        <w:tc>
          <w:tcPr>
            <w:tcW w:type="dxa" w:w="9200"/>
            <w:shd w:fill="DEEAF6" w:val="clear"/>
            <w:tcMar>
              <w:top w:type="dxa" w:w="110"/>
              <w:left w:type="dxa" w:w="150"/>
              <w:bottom w:type="dxa" w:w="110"/>
              <w:right w:type="dxa" w:w="150"/>
            </w:tcMar>
          </w:tcPr>
          <w:p>
            <w:pPr>
              <w:spacing w:after="70" w:before="0"/>
            </w:pPr>
            <w:r>
              <w:rPr>
                <w:rFonts w:ascii="Calibri" w:cs="Calibri" w:eastAsia="Calibri" w:hAnsi="Calibri"/>
                <w:b/>
                <w:bCs/>
                <w:sz w:val="21"/>
                <w:szCs w:val="21"/>
              </w:rPr>
              <w:t xml:space="preserve">« Je suis visuel / auditif / kinesthésique, il me faut des méthodes adaptées à mon style. » </w:t>
            </w:r>
            <w:r>
              <w:rPr>
                <w:rFonts w:ascii="Calibri" w:cs="Calibri" w:eastAsia="Calibri" w:hAnsi="Calibri"/>
                <w:sz w:val="21"/>
                <w:szCs w:val="21"/>
              </w:rPr>
              <w:t xml:space="preserve">Neuromythe invalidé (Pashler et al., 2008) : adapter l’enseignement à un « style » ne produit pas de meilleur apprentissage. Ce qui marche pour tous : se tester, espacer, dormir.</w:t>
            </w:r>
          </w:p>
          <w:p>
            <w:pPr>
              <w:spacing w:after="70" w:before="0"/>
            </w:pPr>
            <w:r>
              <w:rPr>
                <w:rFonts w:ascii="Calibri" w:cs="Calibri" w:eastAsia="Calibri" w:hAnsi="Calibri"/>
                <w:b/>
                <w:bCs/>
                <w:sz w:val="21"/>
                <w:szCs w:val="21"/>
              </w:rPr>
              <w:t xml:space="preserve">« On n’utilise que 10 % de notre cerveau. » </w:t>
            </w:r>
            <w:r>
              <w:rPr>
                <w:rFonts w:ascii="Calibri" w:cs="Calibri" w:eastAsia="Calibri" w:hAnsi="Calibri"/>
                <w:sz w:val="21"/>
                <w:szCs w:val="21"/>
              </w:rPr>
              <w:t xml:space="preserve">Faux : l’imagerie montre une activité distribuée dans l’ensemble du cerveau.</w:t>
            </w:r>
          </w:p>
          <w:p>
            <w:pPr>
              <w:spacing w:after="70" w:before="0"/>
            </w:pPr>
            <w:r>
              <w:rPr>
                <w:rFonts w:ascii="Calibri" w:cs="Calibri" w:eastAsia="Calibri" w:hAnsi="Calibri"/>
                <w:b/>
                <w:bCs/>
                <w:sz w:val="21"/>
                <w:szCs w:val="21"/>
              </w:rPr>
              <w:t xml:space="preserve">« Je suis cerveau droit / cerveau gauche. » </w:t>
            </w:r>
            <w:r>
              <w:rPr>
                <w:rFonts w:ascii="Calibri" w:cs="Calibri" w:eastAsia="Calibri" w:hAnsi="Calibri"/>
                <w:sz w:val="21"/>
                <w:szCs w:val="21"/>
              </w:rPr>
              <w:t xml:space="preserve">Faux : les deux hémisphères coopèrent dans quasiment toutes les tâches.</w:t>
            </w:r>
          </w:p>
          <w:p>
            <w:pPr>
              <w:spacing w:after="70" w:before="0"/>
            </w:pPr>
            <w:r>
              <w:rPr>
                <w:rFonts w:ascii="Calibri" w:cs="Calibri" w:eastAsia="Calibri" w:hAnsi="Calibri"/>
                <w:b/>
                <w:bCs/>
                <w:sz w:val="21"/>
                <w:szCs w:val="21"/>
              </w:rPr>
              <w:t xml:space="preserve">« Moi, la musique m’aide à travailler. » </w:t>
            </w:r>
            <w:r>
              <w:rPr>
                <w:rFonts w:ascii="Calibri" w:cs="Calibri" w:eastAsia="Calibri" w:hAnsi="Calibri"/>
                <w:sz w:val="21"/>
                <w:szCs w:val="21"/>
              </w:rPr>
              <w:t xml:space="preserve">Ça dépend des tâches : les paroles nuisent aux tâches verbales (lecture, rédaction, mémorisation de cours). Renvoyer à l’expérience vécue en A1/A2.</w:t>
            </w:r>
          </w:p>
          <w:p>
            <w:pPr>
              <w:spacing w:after="0" w:before="0"/>
            </w:pPr>
            <w:r>
              <w:rPr>
                <w:rFonts w:ascii="Calibri" w:cs="Calibri" w:eastAsia="Calibri" w:hAnsi="Calibri"/>
                <w:b/>
                <w:bCs/>
                <w:sz w:val="21"/>
                <w:szCs w:val="21"/>
              </w:rPr>
              <w:t xml:space="preserve">« Relire plusieurs fois, ça marche pour moi. » </w:t>
            </w:r>
            <w:r>
              <w:rPr>
                <w:rFonts w:ascii="Calibri" w:cs="Calibri" w:eastAsia="Calibri" w:hAnsi="Calibri"/>
                <w:sz w:val="21"/>
                <w:szCs w:val="21"/>
              </w:rPr>
              <w:t xml:space="preserve">Illusion de fluence : la relecture rend le texte familier, pas su. Renvoyer à l’expérience vécue en séance B (relecture vs auto-interrogation).</w:t>
            </w:r>
          </w:p>
        </w:tc>
      </w:tr>
    </w:tbl>
    <w:p>
      <w:pPr>
        <w:spacing w:after="40" w:before="0"/>
      </w:pPr>
      <w:r>
        <w:rPr>
          <w:rFonts w:ascii="Calibri" w:cs="Calibri" w:eastAsia="Calibri" w:hAnsi="Calibri"/>
          <w:sz w:val="6"/>
          <w:szCs w:val="6"/>
        </w:rPr>
        <w:t xml:space="preserve"/>
      </w:r>
    </w:p>
    <w:p>
      <w:pPr>
        <w:pStyle w:val="Heading1"/>
        <w:spacing w:after="140" w:before="260"/>
      </w:pPr>
      <w:r>
        <w:rPr>
          <w:rFonts w:ascii="Calibri" w:cs="Calibri" w:eastAsia="Calibri" w:hAnsi="Calibri"/>
          <w:b/>
          <w:bCs/>
          <w:color w:val="1F3864"/>
          <w:sz w:val="28"/>
          <w:szCs w:val="28"/>
        </w:rPr>
        <w:t xml:space="preserve">5. Plan B minuté</w:t>
      </w:r>
    </w:p>
    <w:p>
      <w:pPr>
        <w:spacing w:after="120" w:before="0"/>
      </w:pPr>
      <w:r>
        <w:rPr>
          <w:rFonts w:ascii="Calibri" w:cs="Calibri" w:eastAsia="Calibri" w:hAnsi="Calibri"/>
          <w:b/>
          <w:bCs/>
          <w:sz w:val="22"/>
          <w:szCs w:val="22"/>
        </w:rPr>
        <w:t xml:space="preserve">Ce qu’on ne coupe jamais : </w:t>
      </w:r>
      <w:r>
        <w:rPr>
          <w:rFonts w:ascii="Calibri" w:cs="Calibri" w:eastAsia="Calibri" w:hAnsi="Calibri"/>
          <w:sz w:val="22"/>
          <w:szCs w:val="22"/>
        </w:rPr>
        <w:t xml:space="preserve">les 28 minutes en conditions (le principe actif de la séance), le diagnostic forcé, la trace écrite et l’engagement de transfert.</w:t>
      </w:r>
    </w:p>
    <w:p>
      <w:pPr>
        <w:spacing w:after="120" w:before="0"/>
      </w:pPr>
      <w:r>
        <w:rPr>
          <w:rFonts w:ascii="Calibri" w:cs="Calibri" w:eastAsia="Calibri" w:hAnsi="Calibri"/>
          <w:b/>
          <w:bCs/>
          <w:sz w:val="22"/>
          <w:szCs w:val="22"/>
        </w:rPr>
        <w:t xml:space="preserve">Si l’installation déborde : </w:t>
      </w:r>
      <w:r>
        <w:rPr>
          <w:rFonts w:ascii="Calibri" w:cs="Calibri" w:eastAsia="Calibri" w:hAnsi="Calibri"/>
          <w:sz w:val="22"/>
          <w:szCs w:val="22"/>
        </w:rPr>
        <w:t xml:space="preserve">cadre ramené à 3 minutes (écrans 1–2 enchaînés), sujets distribués pendant qu’on parle. La phase chrono démarre au plus tard à la minute 6.</w:t>
      </w:r>
    </w:p>
    <w:p>
      <w:pPr>
        <w:spacing w:after="120" w:before="0"/>
      </w:pPr>
      <w:r>
        <w:rPr>
          <w:rFonts w:ascii="Calibri" w:cs="Calibri" w:eastAsia="Calibri" w:hAnsi="Calibri"/>
          <w:b/>
          <w:bCs/>
          <w:sz w:val="22"/>
          <w:szCs w:val="22"/>
        </w:rPr>
        <w:t xml:space="preserve">Si l’auto-évaluation déborde : </w:t>
      </w:r>
      <w:r>
        <w:rPr>
          <w:rFonts w:ascii="Calibri" w:cs="Calibri" w:eastAsia="Calibri" w:hAnsi="Calibri"/>
          <w:sz w:val="22"/>
          <w:szCs w:val="22"/>
        </w:rPr>
        <w:t xml:space="preserve">la comparaison fine au corrigé se termine à la maison, mais la grille est passée intégralement et la case du diagnostic est cochée en classe.</w:t>
      </w:r>
    </w:p>
    <w:p>
      <w:pPr>
        <w:spacing w:after="120" w:before="0"/>
      </w:pPr>
      <w:r>
        <w:rPr>
          <w:rFonts w:ascii="Calibri" w:cs="Calibri" w:eastAsia="Calibri" w:hAnsi="Calibri"/>
          <w:b/>
          <w:bCs/>
          <w:sz w:val="22"/>
          <w:szCs w:val="22"/>
        </w:rPr>
        <w:t xml:space="preserve">Si la programmation déborde : </w:t>
      </w:r>
      <w:r>
        <w:rPr>
          <w:rFonts w:ascii="Calibri" w:cs="Calibri" w:eastAsia="Calibri" w:hAnsi="Calibri"/>
          <w:sz w:val="22"/>
          <w:szCs w:val="22"/>
        </w:rPr>
        <w:t xml:space="preserve">dater seulement la première quinzaine (un sujet par spécialité) ; le reste de la fiche cycle se remplit à la maison et se vérifie à la météo J+7.</w:t>
      </w:r>
    </w:p>
    <w:p>
      <w:pPr>
        <w:pStyle w:val="Heading1"/>
        <w:spacing w:after="140" w:before="260"/>
      </w:pPr>
      <w:r>
        <w:rPr>
          <w:rFonts w:ascii="Calibri" w:cs="Calibri" w:eastAsia="Calibri" w:hAnsi="Calibri"/>
          <w:b/>
          <w:bCs/>
          <w:color w:val="1F3864"/>
          <w:sz w:val="28"/>
          <w:szCs w:val="28"/>
        </w:rPr>
        <w:t xml:space="preserve">6. Les écueils, en consignes négatives</w:t>
      </w:r>
    </w:p>
    <w:p>
      <w:pPr>
        <w:pStyle w:val="ListParagraph"/>
        <w:numPr>
          <w:ilvl w:val="0"/>
          <w:numId w:val="2"/>
        </w:numPr>
        <w:spacing w:after="120" w:before="0"/>
      </w:pPr>
      <w:r>
        <w:rPr>
          <w:rFonts w:ascii="Calibri" w:cs="Calibri" w:eastAsia="Calibri" w:hAnsi="Calibri"/>
          <w:sz w:val="22"/>
          <w:szCs w:val="22"/>
        </w:rPr>
        <w:t xml:space="preserve">Ne pas laisser sortir un cours, une fiche ou un téléphone pendant les 28 minutes : une seule entorse et les conditions ne valent plus rien — pour personne.</w:t>
      </w:r>
    </w:p>
    <w:p>
      <w:pPr>
        <w:pStyle w:val="ListParagraph"/>
        <w:numPr>
          <w:ilvl w:val="0"/>
          <w:numId w:val="2"/>
        </w:numPr>
        <w:spacing w:after="120" w:before="0"/>
      </w:pPr>
      <w:r>
        <w:rPr>
          <w:rFonts w:ascii="Calibri" w:cs="Calibri" w:eastAsia="Calibri" w:hAnsi="Calibri"/>
          <w:sz w:val="22"/>
          <w:szCs w:val="22"/>
        </w:rPr>
        <w:t xml:space="preserve">Ne pas répondre aux questions de contenu pendant le chrono ; ne pas accorder « deux minutes de plus » à la fin.</w:t>
      </w:r>
    </w:p>
    <w:p>
      <w:pPr>
        <w:pStyle w:val="ListParagraph"/>
        <w:numPr>
          <w:ilvl w:val="0"/>
          <w:numId w:val="2"/>
        </w:numPr>
        <w:spacing w:after="120" w:before="0"/>
      </w:pPr>
      <w:r>
        <w:rPr>
          <w:rFonts w:ascii="Calibri" w:cs="Calibri" w:eastAsia="Calibri" w:hAnsi="Calibri"/>
          <w:sz w:val="22"/>
          <w:szCs w:val="22"/>
        </w:rPr>
        <w:t xml:space="preserve">Ne pas tolérer l’auto-évaluation complaisante : aucun critère coché sans preuve montrée du doigt sur la copie.</w:t>
      </w:r>
    </w:p>
    <w:p>
      <w:pPr>
        <w:pStyle w:val="ListParagraph"/>
        <w:numPr>
          <w:ilvl w:val="0"/>
          <w:numId w:val="2"/>
        </w:numPr>
        <w:spacing w:after="120" w:before="0"/>
      </w:pPr>
      <w:r>
        <w:rPr>
          <w:rFonts w:ascii="Calibri" w:cs="Calibri" w:eastAsia="Calibri" w:hAnsi="Calibri"/>
          <w:sz w:val="22"/>
          <w:szCs w:val="22"/>
        </w:rPr>
        <w:t xml:space="preserve">Ne pas oublier la philosophie : elle entre dans le cycle (un sujet par mois), pas seulement les spécialités.</w:t>
      </w:r>
    </w:p>
    <w:p>
      <w:pPr>
        <w:pStyle w:val="ListParagraph"/>
        <w:numPr>
          <w:ilvl w:val="0"/>
          <w:numId w:val="2"/>
        </w:numPr>
        <w:spacing w:after="120" w:before="0"/>
      </w:pPr>
      <w:r>
        <w:rPr>
          <w:rFonts w:ascii="Calibri" w:cs="Calibri" w:eastAsia="Calibri" w:hAnsi="Calibri"/>
          <w:sz w:val="22"/>
          <w:szCs w:val="22"/>
        </w:rPr>
        <w:t xml:space="preserve">Ne pas transformer le nommage en cours sur le stress ou la mémoire : deux minutes maximum, adossées à ce qui vient d’être vécu.</w:t>
      </w:r>
    </w:p>
    <w:p>
      <w:pPr>
        <w:pStyle w:val="ListParagraph"/>
        <w:numPr>
          <w:ilvl w:val="0"/>
          <w:numId w:val="2"/>
        </w:numPr>
        <w:spacing w:after="120" w:before="0"/>
      </w:pPr>
      <w:r>
        <w:rPr>
          <w:rFonts w:ascii="Calibri" w:cs="Calibri" w:eastAsia="Calibri" w:hAnsi="Calibri"/>
          <w:sz w:val="22"/>
          <w:szCs w:val="22"/>
        </w:rPr>
        <w:t xml:space="preserve">Ne pas ramasser ni noter les copies : la séance apprend l’auto-administration ; une note tuerait l’honnêteté du diagnostic.</w:t>
      </w:r>
    </w:p>
    <w:p>
      <w:pPr>
        <w:pStyle w:val="Heading1"/>
        <w:spacing w:after="140" w:before="260"/>
      </w:pPr>
      <w:r>
        <w:rPr>
          <w:rFonts w:ascii="Calibri" w:cs="Calibri" w:eastAsia="Calibri" w:hAnsi="Calibri"/>
          <w:b/>
          <w:bCs/>
          <w:color w:val="1F3864"/>
          <w:sz w:val="28"/>
          <w:szCs w:val="28"/>
        </w:rPr>
        <w:t xml:space="preserve">7. Différenciation</w:t>
      </w:r>
    </w:p>
    <w:p>
      <w:pPr>
        <w:spacing w:after="120" w:before="0"/>
      </w:pPr>
      <w:r>
        <w:rPr>
          <w:rFonts w:ascii="Calibri" w:cs="Calibri" w:eastAsia="Calibri" w:hAnsi="Calibri"/>
          <w:b/>
          <w:bCs/>
          <w:sz w:val="22"/>
          <w:szCs w:val="22"/>
        </w:rPr>
        <w:t xml:space="preserve">Élèves en difficulté : </w:t>
      </w:r>
      <w:r>
        <w:rPr>
          <w:rFonts w:ascii="Calibri" w:cs="Calibri" w:eastAsia="Calibri" w:hAnsi="Calibri"/>
          <w:sz w:val="22"/>
          <w:szCs w:val="22"/>
        </w:rPr>
        <w:t xml:space="preserve">partie d’épreuve plus courte — la consigne allégée figure sur chaque sujet du kit (mathématiques : questions 1 à 3 ; HGGSP et philosophie : s’arrêter à l’introduction rédigée) — et grille réduite aux 3 critères marqués ★.</w:t>
      </w:r>
    </w:p>
    <w:p>
      <w:pPr>
        <w:spacing w:after="120" w:before="0"/>
      </w:pPr>
      <w:r>
        <w:rPr>
          <w:rFonts w:ascii="Calibri" w:cs="Calibri" w:eastAsia="Calibri" w:hAnsi="Calibri"/>
          <w:b/>
          <w:bCs/>
          <w:sz w:val="22"/>
          <w:szCs w:val="22"/>
        </w:rPr>
        <w:t xml:space="preserve">Performants méthodiquement fragiles : </w:t>
      </w:r>
      <w:r>
        <w:rPr>
          <w:rFonts w:ascii="Calibri" w:cs="Calibri" w:eastAsia="Calibri" w:hAnsi="Calibri"/>
          <w:sz w:val="22"/>
          <w:szCs w:val="22"/>
        </w:rPr>
        <w:t xml:space="preserve">leur vrai point faible est souvent la gestion du temps dans l’épreuve. Imposer un plan de passage minuté écrit en tête de copie avant de commencer (minutes par question), puis le confronter au réel à la correction : l’écart prévu/réel est leur diagnostic.</w:t>
      </w:r>
    </w:p>
    <w:p>
      <w:pPr>
        <w:pStyle w:val="Heading1"/>
        <w:spacing w:after="140" w:before="260"/>
      </w:pPr>
      <w:r>
        <w:rPr>
          <w:rFonts w:ascii="Calibri" w:cs="Calibri" w:eastAsia="Calibri" w:hAnsi="Calibri"/>
          <w:b/>
          <w:bCs/>
          <w:color w:val="1F3864"/>
          <w:sz w:val="28"/>
          <w:szCs w:val="28"/>
        </w:rPr>
        <w:t xml:space="preserve">8. Messages types</w:t>
      </w:r>
    </w:p>
    <w:p>
      <w:pPr>
        <w:spacing w:after="120" w:before="0"/>
      </w:pPr>
      <w:r>
        <w:rPr>
          <w:rFonts w:ascii="Calibri" w:cs="Calibri" w:eastAsia="Calibri" w:hAnsi="Calibri"/>
          <w:b/>
          <w:bCs/>
          <w:sz w:val="22"/>
          <w:szCs w:val="22"/>
        </w:rPr>
        <w:t xml:space="preserve">Aux élèves, la veille (ENT) : </w:t>
      </w:r>
      <w:r>
        <w:rPr>
          <w:rFonts w:ascii="Calibri" w:cs="Calibri" w:eastAsia="Calibri" w:hAnsi="Calibri"/>
          <w:i/>
          <w:iCs/>
          <w:sz w:val="22"/>
          <w:szCs w:val="22"/>
        </w:rPr>
        <w:t xml:space="preserve">« Demain, vie de classe : séance méthodes. Apportez votre carnet de méthodes, votre agenda et votre planning d’année (séance C4). Aucun cours, aucune fiche : tout se fait de mémoire. Sujets et copies fournis. »</w:t>
      </w:r>
    </w:p>
    <w:p>
      <w:pPr>
        <w:spacing w:after="120" w:before="0"/>
      </w:pPr>
      <w:r>
        <w:rPr>
          <w:rFonts w:ascii="Calibri" w:cs="Calibri" w:eastAsia="Calibri" w:hAnsi="Calibri"/>
          <w:b/>
          <w:bCs/>
          <w:sz w:val="22"/>
          <w:szCs w:val="22"/>
        </w:rPr>
        <w:t xml:space="preserve">Aux enseignants de spécialité : </w:t>
      </w:r>
      <w:r>
        <w:rPr>
          <w:rFonts w:ascii="Calibri" w:cs="Calibri" w:eastAsia="Calibri" w:hAnsi="Calibri"/>
          <w:i/>
          <w:iCs/>
          <w:sz w:val="22"/>
          <w:szCs w:val="22"/>
        </w:rPr>
        <w:t xml:space="preserve">« Dans le cadre du dispositif “Apprendre à apprendre”, la classe de Tle … s’entraîne le [date] à traiter une partie d’épreuve en conditions (28 min) puis à s’auto-évaluer, avant de programmer un cycle personnel de sujets blancs jusqu’aux écrits. Le kit couvre mathématiques, HGGSP et philosophie. Pour vos élèves de [spécialité], pourriez-vous me remettre : (1) un extrait de sujet calibré pour environ 28 minutes, (2) son corrigé ou ses éléments de correction, (3) la grille ou les attendus officiels de l’épreuve ? Ces documents serviront aussi au cycle personnel des élèves. Merci. »</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2026-07-14T07:46:35.230Z</dcterms:created>
  <dcterms:modified xsi:type="dcterms:W3CDTF">2026-07-14T07:46:35.243Z</dcterms:modified>
</cp:coreProperties>
</file>

<file path=docProps/custom.xml><?xml version="1.0" encoding="utf-8"?>
<Properties xmlns="http://schemas.openxmlformats.org/officeDocument/2006/custom-properties" xmlns:vt="http://schemas.openxmlformats.org/officeDocument/2006/docPropsVTypes"/>
</file>