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0"/>
          <w:szCs w:val="30"/>
        </w:rPr>
        <w:t xml:space="preserve">E2 · Le journal d’erreurs : transformer chaque DS en levier — 1re</w:t>
      </w:r>
    </w:p>
    <w:p>
      <w:pPr>
        <w:spacing w:after="200" w:before="0"/>
      </w:pPr>
      <w:r>
        <w:rPr>
          <w:rFonts w:ascii="Calibri" w:cs="Calibri" w:eastAsia="Calibri" w:hAnsi="Calibri"/>
          <w:i/>
          <w:iCs/>
          <w:sz w:val="20"/>
          <w:szCs w:val="20"/>
        </w:rPr>
        <w:t xml:space="preserve">Guide d’animation du professeur principal · Dispositif « Apprendre à apprendre » · Institut Stanislas de Cannes · Heure de vie de classe · 55 minutes · Lecture de ce guide : 15 minutes</w:t>
      </w:r>
    </w:p>
    <w:p>
      <w:pPr>
        <w:pStyle w:val="Heading1"/>
        <w:spacing w:after="140" w:before="260"/>
      </w:pPr>
      <w:r>
        <w:rPr>
          <w:rFonts w:ascii="Calibri" w:cs="Calibri" w:eastAsia="Calibri" w:hAnsi="Calibri"/>
          <w:b/>
          <w:bCs/>
          <w:color w:val="1F3864"/>
          <w:sz w:val="28"/>
          <w:szCs w:val="28"/>
        </w:rPr>
        <w:t xml:space="preserve">1. Vue en une page</w:t>
      </w:r>
    </w:p>
    <w:p>
      <w:pPr>
        <w:spacing w:after="120" w:before="0"/>
      </w:pPr>
      <w:r>
        <w:rPr>
          <w:rFonts w:ascii="Calibri" w:cs="Calibri" w:eastAsia="Calibri" w:hAnsi="Calibri"/>
          <w:b/>
          <w:bCs/>
          <w:sz w:val="22"/>
          <w:szCs w:val="22"/>
        </w:rPr>
        <w:t xml:space="preserve">Pilier dominant : </w:t>
      </w:r>
      <w:r>
        <w:rPr>
          <w:rFonts w:ascii="Calibri" w:cs="Calibri" w:eastAsia="Calibri" w:hAnsi="Calibri"/>
          <w:sz w:val="22"/>
          <w:szCs w:val="22"/>
        </w:rPr>
        <w:t xml:space="preserve">Retour d’information — formulation élève : « L’erreur est une information, pas une punition ».</w:t>
      </w:r>
    </w:p>
    <w:p>
      <w:pPr>
        <w:spacing w:after="120" w:before="0"/>
      </w:pPr>
      <w:r>
        <w:rPr>
          <w:rFonts w:ascii="Calibri" w:cs="Calibri" w:eastAsia="Calibri" w:hAnsi="Calibri"/>
          <w:b/>
          <w:bCs/>
          <w:sz w:val="22"/>
          <w:szCs w:val="22"/>
        </w:rPr>
        <w:t xml:space="preserve">Objectif opérationnel : </w:t>
      </w:r>
      <w:r>
        <w:rPr>
          <w:rFonts w:ascii="Calibri" w:cs="Calibri" w:eastAsia="Calibri" w:hAnsi="Calibri"/>
          <w:sz w:val="22"/>
          <w:szCs w:val="22"/>
        </w:rPr>
        <w:t xml:space="preserve">à la fin de la séance, chaque élève (1) a ouvert et alimenté son journal d’erreurs (2 entrées sur 2 copies réelles d’EDS), (2) sait analyser une copie avec la typologie affinée — les 4 familles de 2de (connaissance, méthode, consigne, inattention) plus 2 familles de 1re (gestion du temps, rédaction/argumentation) —, (3) a formulé une stratégie unique et vérifiable au format « quand… alors… » pour le prochain DS.</w:t>
      </w:r>
    </w:p>
    <w:p>
      <w:pPr>
        <w:spacing w:after="120" w:before="0"/>
      </w:pPr>
      <w:r>
        <w:rPr>
          <w:rFonts w:ascii="Calibri" w:cs="Calibri" w:eastAsia="Calibri" w:hAnsi="Calibri"/>
          <w:b/>
          <w:bCs/>
          <w:sz w:val="22"/>
          <w:szCs w:val="22"/>
        </w:rPr>
        <w:t xml:space="preserve">Fondement scientifique : </w:t>
      </w:r>
      <w:r>
        <w:rPr>
          <w:rFonts w:ascii="Calibri" w:cs="Calibri" w:eastAsia="Calibri" w:hAnsi="Calibri"/>
          <w:sz w:val="22"/>
          <w:szCs w:val="22"/>
        </w:rPr>
        <w:t xml:space="preserve">le retour d’information n’a d’effet que s’il est traité par l’élève, et son effet augmente quand il est suivi dans le temps (Hattie &amp; Timperley, 2007 — établi). La stratégie au format « quand… alors… » relève des intentions d’implémentation (Gollwitzer, 1999 ; méta-analyse Gollwitzer &amp; Sheeran, 2006 — établi, effet moyen à fort). L’argument « sous contrôle continu, chaque copie non exploitée est une double perte : les points, et l’information » est une analyse réglementaire du bac, pas un résultat de recherche — le présenter comme tel.</w:t>
      </w:r>
    </w:p>
    <w:p>
      <w:pPr>
        <w:spacing w:after="120" w:before="0"/>
      </w:pPr>
      <w:r>
        <w:rPr>
          <w:rFonts w:ascii="Calibri" w:cs="Calibri" w:eastAsia="Calibri" w:hAnsi="Calibri"/>
          <w:b/>
          <w:bCs/>
          <w:sz w:val="22"/>
          <w:szCs w:val="22"/>
        </w:rPr>
        <w:t xml:space="preserve">Part d’activité élève : </w:t>
      </w:r>
      <w:r>
        <w:rPr>
          <w:rFonts w:ascii="Calibri" w:cs="Calibri" w:eastAsia="Calibri" w:hAnsi="Calibri"/>
          <w:sz w:val="22"/>
          <w:szCs w:val="22"/>
        </w:rPr>
        <w:t xml:space="preserve">environ 90 % du temps (norme du dispositif : ≥ 60 %).</w:t>
      </w:r>
    </w:p>
    <w:p>
      <w:pPr>
        <w:spacing w:after="120" w:before="0"/>
      </w:pPr>
      <w:r>
        <w:rPr>
          <w:rFonts w:ascii="Calibri" w:cs="Calibri" w:eastAsia="Calibri" w:hAnsi="Calibri"/>
          <w:b/>
          <w:bCs/>
          <w:sz w:val="22"/>
          <w:szCs w:val="22"/>
        </w:rPr>
        <w:t xml:space="preserve">Liens avec les séances du dispositif : </w:t>
      </w:r>
      <w:r>
        <w:rPr>
          <w:rFonts w:ascii="Calibri" w:cs="Calibri" w:eastAsia="Calibri" w:hAnsi="Calibri"/>
          <w:sz w:val="22"/>
          <w:szCs w:val="22"/>
        </w:rPr>
        <w:t xml:space="preserve">la typologie des 4 familles vient d’E1 (2de). Le dispositif démarrant cette année, aucun élève de 1re ne l’a vécue : le rappel de la phase 1 installe les 6 familles pour tous, sans prérequis. La question-test des cas ambigus (« saurais-je répondre juste demain, seul ? ») et la règle « on analyse, on ne renégocie pas les notes » sont communes à E1/E2/E3. Les parades renvoient à B3 (réactivation espacée, vécue en septembre), C3 (rétro-planning, octobre) et annoncent D2 (janvier). La relecture du journal à J−2 de chaque DS s’intègre au rétro-planning C3.</w:t>
      </w:r>
    </w:p>
    <w:p>
      <w:pPr>
        <w:pBdr>
          <w:top w:val="single" w:color="C00000" w:sz="18"/>
          <w:left w:val="single" w:color="C00000" w:sz="18"/>
          <w:right w:val="single" w:color="C00000" w:sz="18"/>
        </w:pBdr>
        <w:shd w:fill="FBEAEA" w:val="clear"/>
        <w:spacing w:after="40" w:before="0"/>
      </w:pPr>
      <w:r>
        <w:rPr>
          <w:rFonts w:ascii="Calibri" w:cs="Calibri" w:eastAsia="Calibri" w:hAnsi="Calibri"/>
          <w:b/>
          <w:bCs/>
          <w:color w:val="C00000"/>
          <w:sz w:val="22"/>
          <w:szCs w:val="22"/>
        </w:rPr>
        <w:t xml:space="preserve">À SE PROCURER LOCALEMENT AVANT LA SÉANCE</w:t>
      </w:r>
    </w:p>
    <w:p>
      <w:pPr>
        <w:pBdr>
          <w:left w:val="single" w:color="C00000" w:sz="18"/>
          <w:right w:val="single" w:color="C00000" w:sz="18"/>
        </w:pBdr>
        <w:shd w:fill="FBEAEA" w:val="clear"/>
        <w:spacing w:after="40" w:before="0"/>
      </w:pPr>
      <w:r>
        <w:rPr>
          <w:rFonts w:ascii="Calibri" w:cs="Calibri" w:eastAsia="Calibri" w:hAnsi="Calibri"/>
          <w:color w:val="C00000"/>
          <w:sz w:val="22"/>
          <w:szCs w:val="22"/>
        </w:rPr>
        <w:t xml:space="preserve">– Photocopies des supports élèves : 1 jeu complet par élève (fiche atelier, gabarit de journal, banque de parades, trace écrite). Le journal pré-formaté (support 4) : quelques exemplaires seulement, pour les élèves en difficulté.</w:t>
      </w:r>
    </w:p>
    <w:p>
      <w:pPr>
        <w:pBdr>
          <w:left w:val="single" w:color="C00000" w:sz="18"/>
          <w:right w:val="single" w:color="C00000" w:sz="18"/>
        </w:pBdr>
        <w:shd w:fill="FBEAEA" w:val="clear"/>
        <w:spacing w:after="40" w:before="0"/>
      </w:pPr>
      <w:r>
        <w:rPr>
          <w:rFonts w:ascii="Calibri" w:cs="Calibri" w:eastAsia="Calibri" w:hAnsi="Calibri"/>
          <w:color w:val="C00000"/>
          <w:sz w:val="22"/>
          <w:szCs w:val="22"/>
        </w:rPr>
        <w:t xml:space="preserve">– Rappeler aux élèves à J−3 d’apporter 2 copies récentes d’EDS corrigées et leur carnet de méthodes (message ENT type en section 7). Sans copies réelles, la séance tourne à vide.</w:t>
      </w:r>
    </w:p>
    <w:p>
      <w:pPr>
        <w:pBdr>
          <w:bottom w:val="single" w:color="C00000" w:sz="18"/>
          <w:left w:val="single" w:color="C00000" w:sz="18"/>
          <w:right w:val="single" w:color="C00000" w:sz="18"/>
        </w:pBdr>
        <w:shd w:fill="FBEAEA" w:val="clear"/>
        <w:spacing w:after="200" w:before="0"/>
      </w:pPr>
      <w:r>
        <w:rPr>
          <w:rFonts w:ascii="Calibri" w:cs="Calibri" w:eastAsia="Calibri" w:hAnsi="Calibri"/>
          <w:color w:val="C00000"/>
          <w:sz w:val="22"/>
          <w:szCs w:val="22"/>
        </w:rPr>
        <w:t xml:space="preserve">– Filet de sécurité : prévoir 3-4 copies anonymisées d’EDS de la classe (accord du professeur concerné, nom masqué) pour les élèves sans copie. À la charge du PP : le kit ne peut pas fournir de copies d’EDS crédibles pour toutes les spécialités.</w:t>
      </w:r>
    </w:p>
    <w:p>
      <w:pPr>
        <w:pStyle w:val="Heading2"/>
        <w:spacing w:after="100" w:before="200"/>
      </w:pPr>
      <w:r>
        <w:rPr>
          <w:rFonts w:ascii="Calibri" w:cs="Calibri" w:eastAsia="Calibri" w:hAnsi="Calibri"/>
          <w:b/>
          <w:bCs/>
          <w:color w:val="2E5395"/>
          <w:sz w:val="24"/>
          <w:szCs w:val="24"/>
        </w:rPr>
        <w:t xml:space="preserve">Minutage récapitulatif</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1500"/>
        <w:gridCol w:w="2400"/>
        <w:gridCol w:w="800"/>
      </w:tblGrid>
      <w:tr>
        <w:trPr>
          <w:tblHeader/>
        </w:trPr>
        <w:tc>
          <w:tcPr>
            <w:tcW w:type="dxa" w:w="900"/>
            <w:shd w:fill="DEEAF6"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Min</w:t>
            </w:r>
          </w:p>
        </w:tc>
        <w:tc>
          <w:tcPr>
            <w:tcW w:type="dxa" w:w="4100"/>
            <w:shd w:fill="DEEAF6"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Phase</w:t>
            </w:r>
          </w:p>
        </w:tc>
        <w:tc>
          <w:tcPr>
            <w:tcW w:type="dxa" w:w="1500"/>
            <w:shd w:fill="DEEAF6"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Modalité</w:t>
            </w:r>
          </w:p>
        </w:tc>
        <w:tc>
          <w:tcPr>
            <w:tcW w:type="dxa" w:w="2400"/>
            <w:shd w:fill="DEEAF6"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Rôle du PP</w:t>
            </w:r>
          </w:p>
        </w:tc>
        <w:tc>
          <w:tcPr>
            <w:tcW w:type="dxa" w:w="800"/>
            <w:shd w:fill="DEEAF6"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Écrans</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20"/>
                <w:szCs w:val="20"/>
              </w:rPr>
              <w:t xml:space="preserve">0–5</w:t>
            </w:r>
          </w:p>
        </w:tc>
        <w:tc>
          <w:tcPr>
            <w:tcW w:type="dxa" w:w="4100"/>
            <w:tcMar>
              <w:top w:type="dxa" w:w="60"/>
              <w:left w:type="dxa" w:w="100"/>
              <w:bottom w:type="dxa" w:w="60"/>
              <w:right w:type="dxa" w:w="100"/>
            </w:tcMar>
            <w:vAlign w:val="center"/>
          </w:tcPr>
          <w:p>
            <w:pPr>
              <w:spacing w:after="0"/>
            </w:pPr>
            <w:r>
              <w:rPr>
                <w:rFonts w:ascii="Calibri" w:cs="Calibri" w:eastAsia="Calibri" w:hAnsi="Calibri"/>
                <w:sz w:val="20"/>
                <w:szCs w:val="20"/>
              </w:rPr>
              <w:t xml:space="preserve">Rappel typologie 2de + les 2 familles de 1re (temps, rédaction/argumentation)</w:t>
            </w:r>
          </w:p>
        </w:tc>
        <w:tc>
          <w:tcPr>
            <w:tcW w:type="dxa" w:w="1500"/>
            <w:tcMar>
              <w:top w:type="dxa" w:w="60"/>
              <w:left w:type="dxa" w:w="100"/>
              <w:bottom w:type="dxa" w:w="60"/>
              <w:right w:type="dxa" w:w="100"/>
            </w:tcMar>
            <w:vAlign w:val="center"/>
          </w:tcPr>
          <w:p>
            <w:pPr>
              <w:spacing w:after="0"/>
            </w:pPr>
            <w:r>
              <w:rPr>
                <w:rFonts w:ascii="Calibri" w:cs="Calibri" w:eastAsia="Calibri" w:hAnsi="Calibri"/>
                <w:sz w:val="20"/>
                <w:szCs w:val="20"/>
              </w:rPr>
              <w:t xml:space="preserve">Classe</w:t>
            </w:r>
          </w:p>
        </w:tc>
        <w:tc>
          <w:tcPr>
            <w:tcW w:type="dxa" w:w="2400"/>
            <w:tcMar>
              <w:top w:type="dxa" w:w="60"/>
              <w:left w:type="dxa" w:w="100"/>
              <w:bottom w:type="dxa" w:w="60"/>
              <w:right w:type="dxa" w:w="100"/>
            </w:tcMar>
            <w:vAlign w:val="center"/>
          </w:tcPr>
          <w:p>
            <w:pPr>
              <w:spacing w:after="0"/>
            </w:pPr>
            <w:r>
              <w:rPr>
                <w:rFonts w:ascii="Calibri" w:cs="Calibri" w:eastAsia="Calibri" w:hAnsi="Calibri"/>
                <w:sz w:val="20"/>
                <w:szCs w:val="20"/>
              </w:rPr>
              <w:t xml:space="preserve">Réactive, illustre</w:t>
            </w:r>
          </w:p>
        </w:tc>
        <w:tc>
          <w:tcPr>
            <w:tcW w:type="dxa" w:w="800"/>
            <w:tcMar>
              <w:top w:type="dxa" w:w="60"/>
              <w:left w:type="dxa" w:w="100"/>
              <w:bottom w:type="dxa" w:w="60"/>
              <w:right w:type="dxa" w:w="100"/>
            </w:tcMar>
            <w:vAlign w:val="center"/>
          </w:tcPr>
          <w:p>
            <w:pPr>
              <w:spacing w:after="0"/>
            </w:pPr>
            <w:r>
              <w:rPr>
                <w:rFonts w:ascii="Calibri" w:cs="Calibri" w:eastAsia="Calibri" w:hAnsi="Calibri"/>
                <w:sz w:val="20"/>
                <w:szCs w:val="20"/>
              </w:rPr>
              <w:t xml:space="preserve">1–2</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20"/>
                <w:szCs w:val="20"/>
              </w:rPr>
              <w:t xml:space="preserve">5–25</w:t>
            </w:r>
          </w:p>
        </w:tc>
        <w:tc>
          <w:tcPr>
            <w:tcW w:type="dxa" w:w="4100"/>
            <w:tcMar>
              <w:top w:type="dxa" w:w="60"/>
              <w:left w:type="dxa" w:w="100"/>
              <w:bottom w:type="dxa" w:w="60"/>
              <w:right w:type="dxa" w:w="100"/>
            </w:tcMar>
            <w:vAlign w:val="center"/>
          </w:tcPr>
          <w:p>
            <w:pPr>
              <w:spacing w:after="0"/>
            </w:pPr>
            <w:r>
              <w:rPr>
                <w:rFonts w:ascii="Calibri" w:cs="Calibri" w:eastAsia="Calibri" w:hAnsi="Calibri"/>
                <w:sz w:val="20"/>
                <w:szCs w:val="20"/>
              </w:rPr>
              <w:t xml:space="preserve">Analyse guidée de la copie n°1, point perdu par point perdu ; 1re entrée au journal</w:t>
            </w:r>
          </w:p>
        </w:tc>
        <w:tc>
          <w:tcPr>
            <w:tcW w:type="dxa" w:w="1500"/>
            <w:tcMar>
              <w:top w:type="dxa" w:w="60"/>
              <w:left w:type="dxa" w:w="100"/>
              <w:bottom w:type="dxa" w:w="60"/>
              <w:right w:type="dxa" w:w="100"/>
            </w:tcMar>
            <w:vAlign w:val="center"/>
          </w:tcPr>
          <w:p>
            <w:pPr>
              <w:spacing w:after="0"/>
            </w:pPr>
            <w:r>
              <w:rPr>
                <w:rFonts w:ascii="Calibri" w:cs="Calibri" w:eastAsia="Calibri" w:hAnsi="Calibri"/>
                <w:sz w:val="20"/>
                <w:szCs w:val="20"/>
              </w:rPr>
              <w:t xml:space="preserve">Individuel</w:t>
            </w:r>
          </w:p>
        </w:tc>
        <w:tc>
          <w:tcPr>
            <w:tcW w:type="dxa" w:w="2400"/>
            <w:tcMar>
              <w:top w:type="dxa" w:w="60"/>
              <w:left w:type="dxa" w:w="100"/>
              <w:bottom w:type="dxa" w:w="60"/>
              <w:right w:type="dxa" w:w="100"/>
            </w:tcMar>
            <w:vAlign w:val="center"/>
          </w:tcPr>
          <w:p>
            <w:pPr>
              <w:spacing w:after="0"/>
            </w:pPr>
            <w:r>
              <w:rPr>
                <w:rFonts w:ascii="Calibri" w:cs="Calibri" w:eastAsia="Calibri" w:hAnsi="Calibri"/>
                <w:sz w:val="20"/>
                <w:szCs w:val="20"/>
              </w:rPr>
              <w:t xml:space="preserve">Circule, challenge les causes complaisantes</w:t>
            </w:r>
          </w:p>
        </w:tc>
        <w:tc>
          <w:tcPr>
            <w:tcW w:type="dxa" w:w="800"/>
            <w:tcMar>
              <w:top w:type="dxa" w:w="60"/>
              <w:left w:type="dxa" w:w="100"/>
              <w:bottom w:type="dxa" w:w="60"/>
              <w:right w:type="dxa" w:w="100"/>
            </w:tcMar>
            <w:vAlign w:val="center"/>
          </w:tcPr>
          <w:p>
            <w:pPr>
              <w:spacing w:after="0"/>
            </w:pPr>
            <w:r>
              <w:rPr>
                <w:rFonts w:ascii="Calibri" w:cs="Calibri" w:eastAsia="Calibri" w:hAnsi="Calibri"/>
                <w:sz w:val="20"/>
                <w:szCs w:val="20"/>
              </w:rPr>
              <w:t xml:space="preserve">3–5</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20"/>
                <w:szCs w:val="20"/>
              </w:rPr>
              <w:t xml:space="preserve">25–35</w:t>
            </w:r>
          </w:p>
        </w:tc>
        <w:tc>
          <w:tcPr>
            <w:tcW w:type="dxa" w:w="4100"/>
            <w:tcMar>
              <w:top w:type="dxa" w:w="60"/>
              <w:left w:type="dxa" w:w="100"/>
              <w:bottom w:type="dxa" w:w="60"/>
              <w:right w:type="dxa" w:w="100"/>
            </w:tcMar>
            <w:vAlign w:val="center"/>
          </w:tcPr>
          <w:p>
            <w:pPr>
              <w:spacing w:after="0"/>
            </w:pPr>
            <w:r>
              <w:rPr>
                <w:rFonts w:ascii="Calibri" w:cs="Calibri" w:eastAsia="Calibri" w:hAnsi="Calibri"/>
                <w:sz w:val="20"/>
                <w:szCs w:val="20"/>
              </w:rPr>
              <w:t xml:space="preserve">Copie n°2 en autonomie complète</w:t>
            </w:r>
          </w:p>
        </w:tc>
        <w:tc>
          <w:tcPr>
            <w:tcW w:type="dxa" w:w="1500"/>
            <w:tcMar>
              <w:top w:type="dxa" w:w="60"/>
              <w:left w:type="dxa" w:w="100"/>
              <w:bottom w:type="dxa" w:w="60"/>
              <w:right w:type="dxa" w:w="100"/>
            </w:tcMar>
            <w:vAlign w:val="center"/>
          </w:tcPr>
          <w:p>
            <w:pPr>
              <w:spacing w:after="0"/>
            </w:pPr>
            <w:r>
              <w:rPr>
                <w:rFonts w:ascii="Calibri" w:cs="Calibri" w:eastAsia="Calibri" w:hAnsi="Calibri"/>
                <w:sz w:val="20"/>
                <w:szCs w:val="20"/>
              </w:rPr>
              <w:t xml:space="preserve">Individuel</w:t>
            </w:r>
          </w:p>
        </w:tc>
        <w:tc>
          <w:tcPr>
            <w:tcW w:type="dxa" w:w="2400"/>
            <w:tcMar>
              <w:top w:type="dxa" w:w="60"/>
              <w:left w:type="dxa" w:w="100"/>
              <w:bottom w:type="dxa" w:w="60"/>
              <w:right w:type="dxa" w:w="100"/>
            </w:tcMar>
            <w:vAlign w:val="center"/>
          </w:tcPr>
          <w:p>
            <w:pPr>
              <w:spacing w:after="0"/>
            </w:pPr>
            <w:r>
              <w:rPr>
                <w:rFonts w:ascii="Calibri" w:cs="Calibri" w:eastAsia="Calibri" w:hAnsi="Calibri"/>
                <w:sz w:val="20"/>
                <w:szCs w:val="20"/>
              </w:rPr>
              <w:t xml:space="preserve">Observe, n’intervient qu’à la demande</w:t>
            </w:r>
          </w:p>
        </w:tc>
        <w:tc>
          <w:tcPr>
            <w:tcW w:type="dxa" w:w="800"/>
            <w:tcMar>
              <w:top w:type="dxa" w:w="60"/>
              <w:left w:type="dxa" w:w="100"/>
              <w:bottom w:type="dxa" w:w="60"/>
              <w:right w:type="dxa" w:w="100"/>
            </w:tcMar>
            <w:vAlign w:val="center"/>
          </w:tcPr>
          <w:p>
            <w:pPr>
              <w:spacing w:after="0"/>
            </w:pPr>
            <w:r>
              <w:rPr>
                <w:rFonts w:ascii="Calibri" w:cs="Calibri" w:eastAsia="Calibri" w:hAnsi="Calibri"/>
                <w:sz w:val="20"/>
                <w:szCs w:val="20"/>
              </w:rPr>
              <w:t xml:space="preserve">6</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20"/>
                <w:szCs w:val="20"/>
              </w:rPr>
              <w:t xml:space="preserve">35–45</w:t>
            </w:r>
          </w:p>
        </w:tc>
        <w:tc>
          <w:tcPr>
            <w:tcW w:type="dxa" w:w="4100"/>
            <w:tcMar>
              <w:top w:type="dxa" w:w="60"/>
              <w:left w:type="dxa" w:w="100"/>
              <w:bottom w:type="dxa" w:w="60"/>
              <w:right w:type="dxa" w:w="100"/>
            </w:tcMar>
            <w:vAlign w:val="center"/>
          </w:tcPr>
          <w:p>
            <w:pPr>
              <w:spacing w:after="0"/>
            </w:pPr>
            <w:r>
              <w:rPr>
                <w:rFonts w:ascii="Calibri" w:cs="Calibri" w:eastAsia="Calibri" w:hAnsi="Calibri"/>
                <w:sz w:val="20"/>
                <w:szCs w:val="20"/>
              </w:rPr>
              <w:t xml:space="preserve">Binôme : lecture croisée des journaux, l’autre challenge la « cause probable »</w:t>
            </w:r>
          </w:p>
        </w:tc>
        <w:tc>
          <w:tcPr>
            <w:tcW w:type="dxa" w:w="1500"/>
            <w:tcMar>
              <w:top w:type="dxa" w:w="60"/>
              <w:left w:type="dxa" w:w="100"/>
              <w:bottom w:type="dxa" w:w="60"/>
              <w:right w:type="dxa" w:w="100"/>
            </w:tcMar>
            <w:vAlign w:val="center"/>
          </w:tcPr>
          <w:p>
            <w:pPr>
              <w:spacing w:after="0"/>
            </w:pPr>
            <w:r>
              <w:rPr>
                <w:rFonts w:ascii="Calibri" w:cs="Calibri" w:eastAsia="Calibri" w:hAnsi="Calibri"/>
                <w:sz w:val="20"/>
                <w:szCs w:val="20"/>
              </w:rPr>
              <w:t xml:space="preserve">Binôme</w:t>
            </w:r>
          </w:p>
        </w:tc>
        <w:tc>
          <w:tcPr>
            <w:tcW w:type="dxa" w:w="2400"/>
            <w:tcMar>
              <w:top w:type="dxa" w:w="60"/>
              <w:left w:type="dxa" w:w="100"/>
              <w:bottom w:type="dxa" w:w="60"/>
              <w:right w:type="dxa" w:w="100"/>
            </w:tcMar>
            <w:vAlign w:val="center"/>
          </w:tcPr>
          <w:p>
            <w:pPr>
              <w:spacing w:after="0"/>
            </w:pPr>
            <w:r>
              <w:rPr>
                <w:rFonts w:ascii="Calibri" w:cs="Calibri" w:eastAsia="Calibri" w:hAnsi="Calibri"/>
                <w:sz w:val="20"/>
                <w:szCs w:val="20"/>
              </w:rPr>
              <w:t xml:space="preserve">Modélise le questionnement critique</w:t>
            </w:r>
          </w:p>
        </w:tc>
        <w:tc>
          <w:tcPr>
            <w:tcW w:type="dxa" w:w="800"/>
            <w:tcMar>
              <w:top w:type="dxa" w:w="60"/>
              <w:left w:type="dxa" w:w="100"/>
              <w:bottom w:type="dxa" w:w="60"/>
              <w:right w:type="dxa" w:w="100"/>
            </w:tcMar>
            <w:vAlign w:val="center"/>
          </w:tcPr>
          <w:p>
            <w:pPr>
              <w:spacing w:after="0"/>
            </w:pPr>
            <w:r>
              <w:rPr>
                <w:rFonts w:ascii="Calibri" w:cs="Calibri" w:eastAsia="Calibri" w:hAnsi="Calibri"/>
                <w:sz w:val="20"/>
                <w:szCs w:val="20"/>
              </w:rPr>
              <w:t xml:space="preserve">7</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20"/>
                <w:szCs w:val="20"/>
              </w:rPr>
              <w:t xml:space="preserve">45–52</w:t>
            </w:r>
          </w:p>
        </w:tc>
        <w:tc>
          <w:tcPr>
            <w:tcW w:type="dxa" w:w="4100"/>
            <w:tcMar>
              <w:top w:type="dxa" w:w="60"/>
              <w:left w:type="dxa" w:w="100"/>
              <w:bottom w:type="dxa" w:w="60"/>
              <w:right w:type="dxa" w:w="100"/>
            </w:tcMar>
            <w:vAlign w:val="center"/>
          </w:tcPr>
          <w:p>
            <w:pPr>
              <w:spacing w:after="0"/>
            </w:pPr>
            <w:r>
              <w:rPr>
                <w:rFonts w:ascii="Calibri" w:cs="Calibri" w:eastAsia="Calibri" w:hAnsi="Calibri"/>
                <w:sz w:val="20"/>
                <w:szCs w:val="20"/>
              </w:rPr>
              <w:t xml:space="preserve">Stratégie : une action unique et vérifiable au format « quand… alors… »</w:t>
            </w:r>
          </w:p>
        </w:tc>
        <w:tc>
          <w:tcPr>
            <w:tcW w:type="dxa" w:w="1500"/>
            <w:tcMar>
              <w:top w:type="dxa" w:w="60"/>
              <w:left w:type="dxa" w:w="100"/>
              <w:bottom w:type="dxa" w:w="60"/>
              <w:right w:type="dxa" w:w="100"/>
            </w:tcMar>
            <w:vAlign w:val="center"/>
          </w:tcPr>
          <w:p>
            <w:pPr>
              <w:spacing w:after="0"/>
            </w:pPr>
            <w:r>
              <w:rPr>
                <w:rFonts w:ascii="Calibri" w:cs="Calibri" w:eastAsia="Calibri" w:hAnsi="Calibri"/>
                <w:sz w:val="20"/>
                <w:szCs w:val="20"/>
              </w:rPr>
              <w:t xml:space="preserve">Individuel</w:t>
            </w:r>
          </w:p>
        </w:tc>
        <w:tc>
          <w:tcPr>
            <w:tcW w:type="dxa" w:w="2400"/>
            <w:tcMar>
              <w:top w:type="dxa" w:w="60"/>
              <w:left w:type="dxa" w:w="100"/>
              <w:bottom w:type="dxa" w:w="60"/>
              <w:right w:type="dxa" w:w="100"/>
            </w:tcMar>
            <w:vAlign w:val="center"/>
          </w:tcPr>
          <w:p>
            <w:pPr>
              <w:spacing w:after="0"/>
            </w:pPr>
            <w:r>
              <w:rPr>
                <w:rFonts w:ascii="Calibri" w:cs="Calibri" w:eastAsia="Calibri" w:hAnsi="Calibri"/>
                <w:sz w:val="20"/>
                <w:szCs w:val="20"/>
              </w:rPr>
              <w:t xml:space="preserve">Refuse les stratégies multiples ou vagues</w:t>
            </w:r>
          </w:p>
        </w:tc>
        <w:tc>
          <w:tcPr>
            <w:tcW w:type="dxa" w:w="800"/>
            <w:tcMar>
              <w:top w:type="dxa" w:w="60"/>
              <w:left w:type="dxa" w:w="100"/>
              <w:bottom w:type="dxa" w:w="60"/>
              <w:right w:type="dxa" w:w="100"/>
            </w:tcMar>
            <w:vAlign w:val="center"/>
          </w:tcPr>
          <w:p>
            <w:pPr>
              <w:spacing w:after="0"/>
            </w:pPr>
            <w:r>
              <w:rPr>
                <w:rFonts w:ascii="Calibri" w:cs="Calibri" w:eastAsia="Calibri" w:hAnsi="Calibri"/>
                <w:sz w:val="20"/>
                <w:szCs w:val="20"/>
              </w:rPr>
              <w:t xml:space="preserve">8</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20"/>
                <w:szCs w:val="20"/>
              </w:rPr>
              <w:t xml:space="preserve">52–55</w:t>
            </w:r>
          </w:p>
        </w:tc>
        <w:tc>
          <w:tcPr>
            <w:tcW w:type="dxa" w:w="4100"/>
            <w:tcMar>
              <w:top w:type="dxa" w:w="60"/>
              <w:left w:type="dxa" w:w="100"/>
              <w:bottom w:type="dxa" w:w="60"/>
              <w:right w:type="dxa" w:w="100"/>
            </w:tcMar>
            <w:vAlign w:val="center"/>
          </w:tcPr>
          <w:p>
            <w:pPr>
              <w:spacing w:after="0"/>
            </w:pPr>
            <w:r>
              <w:rPr>
                <w:rFonts w:ascii="Calibri" w:cs="Calibri" w:eastAsia="Calibri" w:hAnsi="Calibri"/>
                <w:sz w:val="20"/>
                <w:szCs w:val="20"/>
              </w:rPr>
              <w:t xml:space="preserve">Trace écrite au carnet + engagement de transfert</w:t>
            </w:r>
          </w:p>
        </w:tc>
        <w:tc>
          <w:tcPr>
            <w:tcW w:type="dxa" w:w="1500"/>
            <w:tcMar>
              <w:top w:type="dxa" w:w="60"/>
              <w:left w:type="dxa" w:w="100"/>
              <w:bottom w:type="dxa" w:w="60"/>
              <w:right w:type="dxa" w:w="100"/>
            </w:tcMar>
            <w:vAlign w:val="center"/>
          </w:tcPr>
          <w:p>
            <w:pPr>
              <w:spacing w:after="0"/>
            </w:pPr>
            <w:r>
              <w:rPr>
                <w:rFonts w:ascii="Calibri" w:cs="Calibri" w:eastAsia="Calibri" w:hAnsi="Calibri"/>
                <w:sz w:val="20"/>
                <w:szCs w:val="20"/>
              </w:rPr>
              <w:t xml:space="preserve">Individuel</w:t>
            </w:r>
          </w:p>
        </w:tc>
        <w:tc>
          <w:tcPr>
            <w:tcW w:type="dxa" w:w="2400"/>
            <w:tcMar>
              <w:top w:type="dxa" w:w="60"/>
              <w:left w:type="dxa" w:w="100"/>
              <w:bottom w:type="dxa" w:w="60"/>
              <w:right w:type="dxa" w:w="100"/>
            </w:tcMar>
            <w:vAlign w:val="center"/>
          </w:tcPr>
          <w:p>
            <w:pPr>
              <w:spacing w:after="0"/>
            </w:pPr>
            <w:r>
              <w:rPr>
                <w:rFonts w:ascii="Calibri" w:cs="Calibri" w:eastAsia="Calibri" w:hAnsi="Calibri"/>
                <w:sz w:val="20"/>
                <w:szCs w:val="20"/>
              </w:rPr>
              <w:t xml:space="preserve">Formalise</w:t>
            </w:r>
          </w:p>
        </w:tc>
        <w:tc>
          <w:tcPr>
            <w:tcW w:type="dxa" w:w="800"/>
            <w:tcMar>
              <w:top w:type="dxa" w:w="60"/>
              <w:left w:type="dxa" w:w="100"/>
              <w:bottom w:type="dxa" w:w="60"/>
              <w:right w:type="dxa" w:w="100"/>
            </w:tcMar>
            <w:vAlign w:val="center"/>
          </w:tcPr>
          <w:p>
            <w:pPr>
              <w:spacing w:after="0"/>
            </w:pPr>
            <w:r>
              <w:rPr>
                <w:rFonts w:ascii="Calibri" w:cs="Calibri" w:eastAsia="Calibri" w:hAnsi="Calibri"/>
                <w:sz w:val="20"/>
                <w:szCs w:val="20"/>
              </w:rPr>
              <w:t xml:space="preserve">9</w:t>
            </w:r>
          </w:p>
        </w:tc>
      </w:tr>
    </w:tbl>
    <w:p>
      <w:r>
        <w:br w:type="page"/>
      </w:r>
    </w:p>
    <w:p>
      <w:pPr>
        <w:pStyle w:val="Heading1"/>
        <w:spacing w:after="140" w:before="260"/>
      </w:pPr>
      <w:r>
        <w:rPr>
          <w:rFonts w:ascii="Calibri" w:cs="Calibri" w:eastAsia="Calibri" w:hAnsi="Calibri"/>
          <w:b/>
          <w:bCs/>
          <w:color w:val="1F3864"/>
          <w:sz w:val="28"/>
          <w:szCs w:val="28"/>
        </w:rPr>
        <w:t xml:space="preserve">2. Script phase par phase</w:t>
      </w:r>
    </w:p>
    <w:p>
      <w:pPr>
        <w:pStyle w:val="Heading2"/>
        <w:spacing w:after="100" w:before="200"/>
      </w:pPr>
      <w:r>
        <w:rPr>
          <w:rFonts w:ascii="Calibri" w:cs="Calibri" w:eastAsia="Calibri" w:hAnsi="Calibri"/>
          <w:b/>
          <w:bCs/>
          <w:color w:val="2E5395"/>
          <w:sz w:val="24"/>
          <w:szCs w:val="24"/>
        </w:rPr>
        <w:t xml:space="preserve">Phase 1 — La typologie affinée (0–5 min, classe, écrans 1–2)</w:t>
      </w:r>
    </w:p>
    <w:p>
      <w:pPr>
        <w:shd w:fill="F2F2F2" w:val="clear"/>
        <w:spacing w:after="140" w:before="0"/>
      </w:pPr>
      <w:r>
        <w:rPr>
          <w:rFonts w:ascii="Calibri" w:cs="Calibri" w:eastAsia="Calibri" w:hAnsi="Calibri"/>
          <w:b/>
          <w:bCs/>
          <w:color w:val="2E5395"/>
          <w:sz w:val="22"/>
          <w:szCs w:val="22"/>
        </w:rPr>
        <w:t xml:space="preserve">Verbatim — </w:t>
      </w:r>
      <w:r>
        <w:rPr>
          <w:rFonts w:ascii="Calibri" w:cs="Calibri" w:eastAsia="Calibri" w:hAnsi="Calibri"/>
          <w:i/>
          <w:iCs/>
          <w:sz w:val="22"/>
          <w:szCs w:val="22"/>
        </w:rPr>
        <w:t xml:space="preserve">« En 2de, on apprend à lire une copie avec 4 familles d’erreurs. En 1re, chaque copie compte pour le bac : on passe à l’outil des professionnels — un journal d’erreurs par spécialité, tenu toute l’année, relu avant chaque DS. Et on ajoute 2 familles que vos copies de 1re font apparaître. »</w:t>
      </w:r>
    </w:p>
    <w:p>
      <w:pPr>
        <w:spacing w:after="40" w:before="0"/>
      </w:pPr>
      <w:r>
        <w:rPr>
          <w:rFonts w:ascii="Calibri" w:cs="Calibri" w:eastAsia="Calibri" w:hAnsi="Calibri"/>
          <w:b/>
          <w:bCs/>
          <w:sz w:val="22"/>
          <w:szCs w:val="22"/>
        </w:rPr>
        <w:t xml:space="preserve">Présentez les 6 familles (écran 2), 3 minutes maximum, avec un exemple oral chacune : </w:t>
      </w:r>
    </w:p>
    <w:p>
      <w:pPr>
        <w:shd w:fill="F2F2F2" w:val="clear"/>
        <w:spacing w:after="140" w:before="0"/>
      </w:pPr>
      <w:r>
        <w:rPr>
          <w:rFonts w:ascii="Calibri" w:cs="Calibri" w:eastAsia="Calibri" w:hAnsi="Calibri"/>
          <w:b/>
          <w:bCs/>
          <w:color w:val="2E5395"/>
          <w:sz w:val="22"/>
          <w:szCs w:val="22"/>
        </w:rPr>
        <w:t xml:space="preserve">Verbatim — </w:t>
      </w:r>
      <w:r>
        <w:rPr>
          <w:rFonts w:ascii="Calibri" w:cs="Calibri" w:eastAsia="Calibri" w:hAnsi="Calibri"/>
          <w:i/>
          <w:iCs/>
          <w:sz w:val="22"/>
          <w:szCs w:val="22"/>
        </w:rPr>
        <w:t xml:space="preserve">« Connaissance : le cours n’était pas su. Méthode : su, mais mal utilisé. Consigne : la question posée n’a pas été traitée. Inattention : su, mais perdu par étourderie. Et les deux nouvelles. Gestion du temps : la question était faisable, mais je n’y suis pas arrivé — dernière partie blanche, exercice bâclé faute de minutes. Rédaction/argumentation : mes idées étaient justes, mais la copie ne le montre pas — plan absent, affirmation sans preuve, calcul juste sans justification, transition manquante. »</w:t>
      </w:r>
    </w:p>
    <w:p>
      <w:pPr>
        <w:spacing w:after="120" w:before="0"/>
      </w:pPr>
      <w:r>
        <w:rPr>
          <w:rFonts w:ascii="Calibri" w:cs="Calibri" w:eastAsia="Calibri" w:hAnsi="Calibri"/>
          <w:b/>
          <w:bCs/>
          <w:sz w:val="22"/>
          <w:szCs w:val="22"/>
        </w:rPr>
        <w:t xml:space="preserve">Posez la règle du jeu, commune à toutes les séances E : </w:t>
      </w:r>
      <w:r>
        <w:rPr>
          <w:rFonts w:ascii="Calibri" w:cs="Calibri" w:eastAsia="Calibri" w:hAnsi="Calibri"/>
          <w:sz w:val="22"/>
          <w:szCs w:val="22"/>
        </w:rPr>
        <w:t xml:space="preserve">« on analyse, on ne renégocie pas les notes ». Toute contestation de correction se traite avec le professeur concerné, hors de cette heure.</w:t>
      </w:r>
    </w:p>
    <w:p>
      <w:pPr>
        <w:spacing w:after="120" w:before="0"/>
      </w:pPr>
      <w:r>
        <w:rPr>
          <w:rFonts w:ascii="Calibri" w:cs="Calibri" w:eastAsia="Calibri" w:hAnsi="Calibri"/>
          <w:b/>
          <w:bCs/>
          <w:sz w:val="22"/>
          <w:szCs w:val="22"/>
        </w:rPr>
        <w:t xml:space="preserve">Rappelez la question-test des cas ambigus (affichée pendant tout l’atelier) : </w:t>
      </w:r>
      <w:r>
        <w:rPr>
          <w:rFonts w:ascii="Calibri" w:cs="Calibri" w:eastAsia="Calibri" w:hAnsi="Calibri"/>
          <w:sz w:val="22"/>
          <w:szCs w:val="22"/>
        </w:rPr>
        <w:t xml:space="preserve">« saurais-je répondre juste demain, seul ? » Oui → inattention. Non → connaissance ou méthode. Pour les nouvelles familles : question blanche alors que je savais faire → temps ; question blanche parce que je ne savais pas → connaissance.</w:t>
      </w:r>
    </w:p>
    <w:p>
      <w:pPr>
        <w:pStyle w:val="Heading2"/>
        <w:spacing w:after="100" w:before="200"/>
      </w:pPr>
      <w:r>
        <w:rPr>
          <w:rFonts w:ascii="Calibri" w:cs="Calibri" w:eastAsia="Calibri" w:hAnsi="Calibri"/>
          <w:b/>
          <w:bCs/>
          <w:color w:val="2E5395"/>
          <w:sz w:val="24"/>
          <w:szCs w:val="24"/>
        </w:rPr>
        <w:t xml:space="preserve">Phase 2 — Analyse guidée de la copie n°1 (5–25 min, individuel, écrans 3–5)</w:t>
      </w:r>
    </w:p>
    <w:p>
      <w:pPr>
        <w:shd w:fill="F2F2F2" w:val="clear"/>
        <w:spacing w:after="140" w:before="0"/>
      </w:pPr>
      <w:r>
        <w:rPr>
          <w:rFonts w:ascii="Calibri" w:cs="Calibri" w:eastAsia="Calibri" w:hAnsi="Calibri"/>
          <w:b/>
          <w:bCs/>
          <w:color w:val="2E5395"/>
          <w:sz w:val="22"/>
          <w:szCs w:val="22"/>
        </w:rPr>
        <w:t xml:space="preserve">Verbatim — </w:t>
      </w:r>
      <w:r>
        <w:rPr>
          <w:rFonts w:ascii="Calibri" w:cs="Calibri" w:eastAsia="Calibri" w:hAnsi="Calibri"/>
          <w:i/>
          <w:iCs/>
          <w:sz w:val="22"/>
          <w:szCs w:val="22"/>
        </w:rPr>
        <w:t xml:space="preserve">« Sortez votre copie n°1 et la fiche atelier. On fait la première copie ensemble, au même rythme, point perdu par point perdu. À chaque point perdu, quatre gestes : je surligne l’endroit exact sur la copie ; je note où (quelle question) et combien ; je choisis la famille ; j’écris la cause probable — pas la famille recopiée, la cause : « théorème non su », « document lu trop vite », « 40 minutes sur l’exercice 1 ». Puis la parade, choisie dans la banque. »</w:t>
      </w:r>
    </w:p>
    <w:p>
      <w:pPr>
        <w:spacing w:after="120" w:before="0"/>
      </w:pPr>
      <w:r>
        <w:rPr>
          <w:rFonts w:ascii="Calibri" w:cs="Calibri" w:eastAsia="Calibri" w:hAnsi="Calibri"/>
          <w:b/>
          <w:bCs/>
          <w:sz w:val="22"/>
          <w:szCs w:val="22"/>
        </w:rPr>
        <w:t xml:space="preserve">Guidez les 5 premières minutes pas à pas : </w:t>
      </w:r>
      <w:r>
        <w:rPr>
          <w:rFonts w:ascii="Calibri" w:cs="Calibri" w:eastAsia="Calibri" w:hAnsi="Calibri"/>
          <w:sz w:val="22"/>
          <w:szCs w:val="22"/>
        </w:rPr>
        <w:t xml:space="preserve">tous les élèves traitent leur premier point perdu en même temps que vous verbalisez les quatre gestes sur un exemple fictif au tableau (un exemple par famille figure sur la fiche atelier). Ensuite, chacun continue à son rythme sur toute la copie.</w:t>
      </w:r>
    </w:p>
    <w:p>
      <w:pPr>
        <w:spacing w:after="120" w:before="0"/>
      </w:pPr>
      <w:r>
        <w:rPr>
          <w:rFonts w:ascii="Calibri" w:cs="Calibri" w:eastAsia="Calibri" w:hAnsi="Calibri"/>
          <w:b/>
          <w:bCs/>
          <w:sz w:val="22"/>
          <w:szCs w:val="22"/>
        </w:rPr>
        <w:t xml:space="preserve">Votre rôle pendant l’atelier : challenger les causes complaisantes. </w:t>
      </w:r>
      <w:r>
        <w:rPr>
          <w:rFonts w:ascii="Calibri" w:cs="Calibri" w:eastAsia="Calibri" w:hAnsi="Calibri"/>
          <w:sz w:val="22"/>
          <w:szCs w:val="22"/>
        </w:rPr>
        <w:t xml:space="preserve">Les trois déguisements les plus fréquents — et la réplique : (1) tout en « inattention » → question-test : « refais-le là, maintenant, sans le cours » ; s’il n’y arrive pas, c’est connaissance ou méthode. (2) tout en « temps » → « si tu avais eu 30 minutes de plus, tu aurais eu tous les points ? Montre-moi comment tu aurais fait » ; l’hésitation révèle la méthode. (3) « le correcteur voulait autre chose » → relire l’énoncé : c’est presque toujours la famille consigne.</w:t>
      </w:r>
    </w:p>
    <w:p>
      <w:pPr>
        <w:spacing w:after="120" w:before="0"/>
      </w:pPr>
      <w:r>
        <w:rPr>
          <w:rFonts w:ascii="Calibri" w:cs="Calibri" w:eastAsia="Calibri" w:hAnsi="Calibri"/>
          <w:b/>
          <w:bCs/>
          <w:sz w:val="22"/>
          <w:szCs w:val="22"/>
        </w:rPr>
        <w:t xml:space="preserve">Exigence sur la cause probable : </w:t>
      </w:r>
      <w:r>
        <w:rPr>
          <w:rFonts w:ascii="Calibri" w:cs="Calibri" w:eastAsia="Calibri" w:hAnsi="Calibri"/>
          <w:sz w:val="22"/>
          <w:szCs w:val="22"/>
        </w:rPr>
        <w:t xml:space="preserve">une cause est une phrase factuelle et vérifiable, pas un jugement (« je suis nul en dissertation » est interdit ; « je n’ai pas posé de plan avant d’écrire » est une cause).</w:t>
      </w:r>
    </w:p>
    <w:p>
      <w:pPr>
        <w:pStyle w:val="Heading2"/>
        <w:spacing w:after="100" w:before="200"/>
      </w:pPr>
      <w:r>
        <w:rPr>
          <w:rFonts w:ascii="Calibri" w:cs="Calibri" w:eastAsia="Calibri" w:hAnsi="Calibri"/>
          <w:b/>
          <w:bCs/>
          <w:color w:val="2E5395"/>
          <w:sz w:val="24"/>
          <w:szCs w:val="24"/>
        </w:rPr>
        <w:t xml:space="preserve">Phase 3 — Copie n°2 en autonomie (25–35 min, individuel, écran 6)</w:t>
      </w:r>
    </w:p>
    <w:p>
      <w:pPr>
        <w:shd w:fill="F2F2F2" w:val="clear"/>
        <w:spacing w:after="140" w:before="0"/>
      </w:pPr>
      <w:r>
        <w:rPr>
          <w:rFonts w:ascii="Calibri" w:cs="Calibri" w:eastAsia="Calibri" w:hAnsi="Calibri"/>
          <w:b/>
          <w:bCs/>
          <w:color w:val="2E5395"/>
          <w:sz w:val="22"/>
          <w:szCs w:val="22"/>
        </w:rPr>
        <w:t xml:space="preserve">Verbatim — </w:t>
      </w:r>
      <w:r>
        <w:rPr>
          <w:rFonts w:ascii="Calibri" w:cs="Calibri" w:eastAsia="Calibri" w:hAnsi="Calibri"/>
          <w:i/>
          <w:iCs/>
          <w:sz w:val="22"/>
          <w:szCs w:val="22"/>
        </w:rPr>
        <w:t xml:space="preserve">« Deuxième copie, mêmes gestes, mais seuls et en 10 minutes chrono. C’est le format définitif : en régime de croisière, une copie s’analyse en moins de 10 minutes. Au-delà, on ne le fera plus — donc on apprend à aller à l’essentiel : les points perdus, rien d’autre. »</w:t>
      </w:r>
    </w:p>
    <w:p>
      <w:pPr>
        <w:spacing w:after="120" w:before="0"/>
      </w:pPr>
      <w:r>
        <w:rPr>
          <w:rFonts w:ascii="Calibri" w:cs="Calibri" w:eastAsia="Calibri" w:hAnsi="Calibri"/>
          <w:b/>
          <w:bCs/>
          <w:sz w:val="22"/>
          <w:szCs w:val="22"/>
        </w:rPr>
        <w:t xml:space="preserve">N’intervenez qu’à la demande. </w:t>
      </w:r>
      <w:r>
        <w:rPr>
          <w:rFonts w:ascii="Calibri" w:cs="Calibri" w:eastAsia="Calibri" w:hAnsi="Calibri"/>
          <w:sz w:val="22"/>
          <w:szCs w:val="22"/>
        </w:rPr>
        <w:t xml:space="preserve">La phase mesure si le geste est acquis ; votre silence en fait partie. Élèves sans copie : distribuez une copie anonymisée de secours — le geste à apprendre est le même.</w:t>
      </w:r>
    </w:p>
    <w:p>
      <w:pPr>
        <w:pStyle w:val="Heading2"/>
        <w:spacing w:after="100" w:before="200"/>
      </w:pPr>
      <w:r>
        <w:rPr>
          <w:rFonts w:ascii="Calibri" w:cs="Calibri" w:eastAsia="Calibri" w:hAnsi="Calibri"/>
          <w:b/>
          <w:bCs/>
          <w:color w:val="2E5395"/>
          <w:sz w:val="24"/>
          <w:szCs w:val="24"/>
        </w:rPr>
        <w:t xml:space="preserve">Phase 4 — Lecture croisée en binôme (35–45 min, binôme, écran 7)</w:t>
      </w:r>
    </w:p>
    <w:p>
      <w:pPr>
        <w:shd w:fill="F2F2F2" w:val="clear"/>
        <w:spacing w:after="140" w:before="0"/>
      </w:pPr>
      <w:r>
        <w:rPr>
          <w:rFonts w:ascii="Calibri" w:cs="Calibri" w:eastAsia="Calibri" w:hAnsi="Calibri"/>
          <w:b/>
          <w:bCs/>
          <w:color w:val="2E5395"/>
          <w:sz w:val="22"/>
          <w:szCs w:val="22"/>
        </w:rPr>
        <w:t xml:space="preserve">Verbatim — </w:t>
      </w:r>
      <w:r>
        <w:rPr>
          <w:rFonts w:ascii="Calibri" w:cs="Calibri" w:eastAsia="Calibri" w:hAnsi="Calibri"/>
          <w:i/>
          <w:iCs/>
          <w:sz w:val="22"/>
          <w:szCs w:val="22"/>
        </w:rPr>
        <w:t xml:space="preserve">« Échangez vos journaux. Chacun lit les entrées de l’autre et challenge la colonne « cause probable » avec deux questions : « cette cause est-elle un fait ou une excuse ? » et « l’inattention que tu as notée là — saurais-tu vraiment le refaire juste demain, seul ? ». Le lecteur a le droit de barrer une cause et d’en proposer une autre au crayon ; l’auteur tranche. »</w:t>
      </w:r>
    </w:p>
    <w:p>
      <w:pPr>
        <w:spacing w:after="120" w:before="0"/>
      </w:pPr>
      <w:r>
        <w:rPr>
          <w:rFonts w:ascii="Calibri" w:cs="Calibri" w:eastAsia="Calibri" w:hAnsi="Calibri"/>
          <w:b/>
          <w:bCs/>
          <w:sz w:val="22"/>
          <w:szCs w:val="22"/>
        </w:rPr>
        <w:t xml:space="preserve">Modélisez le questionnement sur un exemple : </w:t>
      </w:r>
      <w:r>
        <w:rPr>
          <w:rFonts w:ascii="Calibri" w:cs="Calibri" w:eastAsia="Calibri" w:hAnsi="Calibri"/>
          <w:sz w:val="22"/>
          <w:szCs w:val="22"/>
        </w:rPr>
        <w:t xml:space="preserve">prenez un élève volontaire, lisez une de ses entrées à voix haute et posez les deux questions devant la classe (1 minute). Le binôme reproduit ensuite le geste. Circulez pour débloquer les binômes trop polis : le service qu’on rend à l’autre, c’est la question qui dérange.</w:t>
      </w:r>
    </w:p>
    <w:p>
      <w:pPr>
        <w:pStyle w:val="Heading2"/>
        <w:spacing w:after="100" w:before="200"/>
      </w:pPr>
      <w:r>
        <w:rPr>
          <w:rFonts w:ascii="Calibri" w:cs="Calibri" w:eastAsia="Calibri" w:hAnsi="Calibri"/>
          <w:b/>
          <w:bCs/>
          <w:color w:val="2E5395"/>
          <w:sz w:val="24"/>
          <w:szCs w:val="24"/>
        </w:rPr>
        <w:t xml:space="preserve">Phase 5 — La stratégie unique (45–52 min, individuel, écran 8)</w:t>
      </w:r>
    </w:p>
    <w:p>
      <w:pPr>
        <w:shd w:fill="F2F2F2" w:val="clear"/>
        <w:spacing w:after="140" w:before="0"/>
      </w:pPr>
      <w:r>
        <w:rPr>
          <w:rFonts w:ascii="Calibri" w:cs="Calibri" w:eastAsia="Calibri" w:hAnsi="Calibri"/>
          <w:b/>
          <w:bCs/>
          <w:color w:val="2E5395"/>
          <w:sz w:val="22"/>
          <w:szCs w:val="22"/>
        </w:rPr>
        <w:t xml:space="preserve">Verbatim — </w:t>
      </w:r>
      <w:r>
        <w:rPr>
          <w:rFonts w:ascii="Calibri" w:cs="Calibri" w:eastAsia="Calibri" w:hAnsi="Calibri"/>
          <w:i/>
          <w:iCs/>
          <w:sz w:val="22"/>
          <w:szCs w:val="22"/>
        </w:rPr>
        <w:t xml:space="preserve">« Regardez vos deux entrées : quelle est la famille qui vous coûte le plus de points ? Vous écrivez maintenant UNE stratégie pour le prochain DS — une seule — au format « quand… alors… ». Exemple : « quand le prochain DS de maths commencera, alors je note sur le brouillon 10 minutes de relecture des calculs à la fin, et je m’y tiens ». Elle doit être vérifiable : à la fin du DS, on peut répondre oui ou non à la question « l’ai-je fait ? ». »</w:t>
      </w:r>
    </w:p>
    <w:p>
      <w:pPr>
        <w:spacing w:after="120" w:before="0"/>
      </w:pPr>
      <w:r>
        <w:rPr>
          <w:rFonts w:ascii="Calibri" w:cs="Calibri" w:eastAsia="Calibri" w:hAnsi="Calibri"/>
          <w:b/>
          <w:bCs/>
          <w:sz w:val="22"/>
          <w:szCs w:val="22"/>
        </w:rPr>
        <w:t xml:space="preserve">Refusez systématiquement : </w:t>
      </w:r>
      <w:r>
        <w:rPr>
          <w:rFonts w:ascii="Calibri" w:cs="Calibri" w:eastAsia="Calibri" w:hAnsi="Calibri"/>
          <w:sz w:val="22"/>
          <w:szCs w:val="22"/>
        </w:rPr>
        <w:t xml:space="preserve">les stratégies multiples (« je vais aussi… » : une seule), les stratégies vagues (« mieux gérer mon temps », « faire attention »), les stratégies sans déclencheur daté (« quand » = un moment précis du prochain DS ou de sa préparation). La banque de parades (support 3) fournit des formulations prêtes par famille.</w:t>
      </w:r>
    </w:p>
    <w:p>
      <w:pPr>
        <w:pStyle w:val="Heading2"/>
        <w:spacing w:after="100" w:before="200"/>
      </w:pPr>
      <w:r>
        <w:rPr>
          <w:rFonts w:ascii="Calibri" w:cs="Calibri" w:eastAsia="Calibri" w:hAnsi="Calibri"/>
          <w:b/>
          <w:bCs/>
          <w:color w:val="2E5395"/>
          <w:sz w:val="24"/>
          <w:szCs w:val="24"/>
        </w:rPr>
        <w:t xml:space="preserve">Phase 6 — Trace écrite et engagement (52–55 min, individuel, écran 9)</w:t>
      </w:r>
    </w:p>
    <w:p>
      <w:pPr>
        <w:shd w:fill="F2F2F2" w:val="clear"/>
        <w:spacing w:after="140" w:before="0"/>
      </w:pPr>
      <w:r>
        <w:rPr>
          <w:rFonts w:ascii="Calibri" w:cs="Calibri" w:eastAsia="Calibri" w:hAnsi="Calibri"/>
          <w:b/>
          <w:bCs/>
          <w:color w:val="2E5395"/>
          <w:sz w:val="22"/>
          <w:szCs w:val="22"/>
        </w:rPr>
        <w:t xml:space="preserve">Verbatim — </w:t>
      </w:r>
      <w:r>
        <w:rPr>
          <w:rFonts w:ascii="Calibri" w:cs="Calibri" w:eastAsia="Calibri" w:hAnsi="Calibri"/>
          <w:i/>
          <w:iCs/>
          <w:sz w:val="22"/>
          <w:szCs w:val="22"/>
        </w:rPr>
        <w:t xml:space="preserve">« Complétez la trace écrite pour le carnet de méthodes, page du pilier « Retour d’information ». Votre engagement, sur un mois : chaque copie rendue entre au journal en moins de 10 minutes, et vous relisez le journal à J−2 de chaque DS — c’est la relecture qui transforme le journal en points. Bilan à la prochaine vie de classe, et point complet dans un mois. »</w:t>
      </w:r>
    </w:p>
    <w:p>
      <w:pPr>
        <w:spacing w:after="120" w:before="0"/>
      </w:pPr>
      <w:r>
        <w:rPr>
          <w:rFonts w:ascii="Calibri" w:cs="Calibri" w:eastAsia="Calibri" w:hAnsi="Calibri"/>
          <w:b/>
          <w:bCs/>
          <w:sz w:val="22"/>
          <w:szCs w:val="22"/>
        </w:rPr>
        <w:t xml:space="preserve">Incompressible. </w:t>
      </w:r>
      <w:r>
        <w:rPr>
          <w:rFonts w:ascii="Calibri" w:cs="Calibri" w:eastAsia="Calibri" w:hAnsi="Calibri"/>
          <w:sz w:val="22"/>
          <w:szCs w:val="22"/>
        </w:rPr>
        <w:t xml:space="preserve">La trace écrite et l’engagement ne se coupent jamais, même en cas de débordement (voir plan B).</w:t>
      </w:r>
    </w:p>
    <w:p>
      <w:r>
        <w:br w:type="page"/>
      </w:r>
    </w:p>
    <w:p>
      <w:pPr>
        <w:pStyle w:val="Heading1"/>
        <w:spacing w:after="140" w:before="260"/>
      </w:pPr>
      <w:r>
        <w:rPr>
          <w:rFonts w:ascii="Calibri" w:cs="Calibri" w:eastAsia="Calibri" w:hAnsi="Calibri"/>
          <w:b/>
          <w:bCs/>
          <w:color w:val="1F3864"/>
          <w:sz w:val="28"/>
          <w:szCs w:val="28"/>
        </w:rPr>
        <w:t xml:space="preserve">3. Réponses aux objections types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300"/>
        <w:gridCol w:w="5000"/>
      </w:tblGrid>
      <w:tr>
        <w:trPr>
          <w:tblHeader/>
        </w:trPr>
        <w:tc>
          <w:tcPr>
            <w:tcW w:type="dxa" w:w="4300"/>
            <w:shd w:fill="DEEAF6"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Objection</w:t>
            </w:r>
          </w:p>
        </w:tc>
        <w:tc>
          <w:tcPr>
            <w:tcW w:type="dxa" w:w="5000"/>
            <w:shd w:fill="DEEAF6"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Réponse en une phrase, adossée au vécu de la séance</w:t>
            </w:r>
          </w:p>
        </w:tc>
      </w:tr>
      <w:tr>
        <w:tc>
          <w:tcPr>
            <w:tcW w:type="dxa" w:w="4300"/>
            <w:tcMar>
              <w:top w:type="dxa" w:w="60"/>
              <w:left w:type="dxa" w:w="100"/>
              <w:bottom w:type="dxa" w:w="60"/>
              <w:right w:type="dxa" w:w="100"/>
            </w:tcMar>
            <w:vAlign w:val="center"/>
          </w:tcPr>
          <w:p>
            <w:pPr>
              <w:spacing w:after="0"/>
            </w:pPr>
            <w:r>
              <w:rPr>
                <w:rFonts w:ascii="Calibri" w:cs="Calibri" w:eastAsia="Calibri" w:hAnsi="Calibri"/>
                <w:sz w:val="20"/>
                <w:szCs w:val="20"/>
              </w:rPr>
              <w:t xml:space="preserve">« C’est de l’inattention, c’est tout. »</w:t>
            </w:r>
          </w:p>
        </w:tc>
        <w:tc>
          <w:tcPr>
            <w:tcW w:type="dxa" w:w="5000"/>
            <w:tcMar>
              <w:top w:type="dxa" w:w="60"/>
              <w:left w:type="dxa" w:w="100"/>
              <w:bottom w:type="dxa" w:w="60"/>
              <w:right w:type="dxa" w:w="100"/>
            </w:tcMar>
            <w:vAlign w:val="center"/>
          </w:tcPr>
          <w:p>
            <w:pPr>
              <w:spacing w:after="0"/>
            </w:pPr>
            <w:r>
              <w:rPr>
                <w:rFonts w:ascii="Calibri" w:cs="Calibri" w:eastAsia="Calibri" w:hAnsi="Calibri"/>
                <w:sz w:val="20"/>
                <w:szCs w:val="20"/>
              </w:rPr>
              <w:t xml:space="preserve">Question-test : « refais-le là, maintenant, sans le cours ». Ce qui résiste au test est de l’inattention ; le reste est un cours mal su qui se déguise.</w:t>
            </w:r>
          </w:p>
        </w:tc>
      </w:tr>
      <w:tr>
        <w:tc>
          <w:tcPr>
            <w:tcW w:type="dxa" w:w="4300"/>
            <w:tcMar>
              <w:top w:type="dxa" w:w="60"/>
              <w:left w:type="dxa" w:w="100"/>
              <w:bottom w:type="dxa" w:w="60"/>
              <w:right w:type="dxa" w:w="100"/>
            </w:tcMar>
            <w:vAlign w:val="center"/>
          </w:tcPr>
          <w:p>
            <w:pPr>
              <w:spacing w:after="0"/>
            </w:pPr>
            <w:r>
              <w:rPr>
                <w:rFonts w:ascii="Calibri" w:cs="Calibri" w:eastAsia="Calibri" w:hAnsi="Calibri"/>
                <w:sz w:val="20"/>
                <w:szCs w:val="20"/>
              </w:rPr>
              <w:t xml:space="preserve">« Le correcteur a été sévère. »</w:t>
            </w:r>
          </w:p>
        </w:tc>
        <w:tc>
          <w:tcPr>
            <w:tcW w:type="dxa" w:w="5000"/>
            <w:tcMar>
              <w:top w:type="dxa" w:w="60"/>
              <w:left w:type="dxa" w:w="100"/>
              <w:bottom w:type="dxa" w:w="60"/>
              <w:right w:type="dxa" w:w="100"/>
            </w:tcMar>
            <w:vAlign w:val="center"/>
          </w:tcPr>
          <w:p>
            <w:pPr>
              <w:spacing w:after="0"/>
            </w:pPr>
            <w:r>
              <w:rPr>
                <w:rFonts w:ascii="Calibri" w:cs="Calibri" w:eastAsia="Calibri" w:hAnsi="Calibri"/>
                <w:sz w:val="20"/>
                <w:szCs w:val="20"/>
              </w:rPr>
              <w:t xml:space="preserve">Règle de la séance : on analyse, on ne renégocie pas. Et même si la note bougeait d’un point, l’information contenue dans la copie, elle, ne change pas.</w:t>
            </w:r>
          </w:p>
        </w:tc>
      </w:tr>
      <w:tr>
        <w:tc>
          <w:tcPr>
            <w:tcW w:type="dxa" w:w="4300"/>
            <w:tcMar>
              <w:top w:type="dxa" w:w="60"/>
              <w:left w:type="dxa" w:w="100"/>
              <w:bottom w:type="dxa" w:w="60"/>
              <w:right w:type="dxa" w:w="100"/>
            </w:tcMar>
            <w:vAlign w:val="center"/>
          </w:tcPr>
          <w:p>
            <w:pPr>
              <w:spacing w:after="0"/>
            </w:pPr>
            <w:r>
              <w:rPr>
                <w:rFonts w:ascii="Calibri" w:cs="Calibri" w:eastAsia="Calibri" w:hAnsi="Calibri"/>
                <w:sz w:val="20"/>
                <w:szCs w:val="20"/>
              </w:rPr>
              <w:t xml:space="preserve">« À quoi bon, la note est déjà dans la moyenne. »</w:t>
            </w:r>
          </w:p>
        </w:tc>
        <w:tc>
          <w:tcPr>
            <w:tcW w:type="dxa" w:w="5000"/>
            <w:tcMar>
              <w:top w:type="dxa" w:w="60"/>
              <w:left w:type="dxa" w:w="100"/>
              <w:bottom w:type="dxa" w:w="60"/>
              <w:right w:type="dxa" w:w="100"/>
            </w:tcMar>
            <w:vAlign w:val="center"/>
          </w:tcPr>
          <w:p>
            <w:pPr>
              <w:spacing w:after="0"/>
            </w:pPr>
            <w:r>
              <w:rPr>
                <w:rFonts w:ascii="Calibri" w:cs="Calibri" w:eastAsia="Calibri" w:hAnsi="Calibri"/>
                <w:sz w:val="20"/>
                <w:szCs w:val="20"/>
              </w:rPr>
              <w:t xml:space="preserve">Justement : sous contrôle continu, le prochain DS compte aussi. Le journal ne répare pas cette note, il protège les suivantes — au meilleur rendement points/minute de tout votre travail.</w:t>
            </w:r>
          </w:p>
        </w:tc>
      </w:tr>
      <w:tr>
        <w:tc>
          <w:tcPr>
            <w:tcW w:type="dxa" w:w="4300"/>
            <w:tcMar>
              <w:top w:type="dxa" w:w="60"/>
              <w:left w:type="dxa" w:w="100"/>
              <w:bottom w:type="dxa" w:w="60"/>
              <w:right w:type="dxa" w:w="100"/>
            </w:tcMar>
            <w:vAlign w:val="center"/>
          </w:tcPr>
          <w:p>
            <w:pPr>
              <w:spacing w:after="0"/>
            </w:pPr>
            <w:r>
              <w:rPr>
                <w:rFonts w:ascii="Calibri" w:cs="Calibri" w:eastAsia="Calibri" w:hAnsi="Calibri"/>
                <w:sz w:val="20"/>
                <w:szCs w:val="20"/>
              </w:rPr>
              <w:t xml:space="preserve">« Ça prend trop de temps. »</w:t>
            </w:r>
          </w:p>
        </w:tc>
        <w:tc>
          <w:tcPr>
            <w:tcW w:type="dxa" w:w="5000"/>
            <w:tcMar>
              <w:top w:type="dxa" w:w="60"/>
              <w:left w:type="dxa" w:w="100"/>
              <w:bottom w:type="dxa" w:w="60"/>
              <w:right w:type="dxa" w:w="100"/>
            </w:tcMar>
            <w:vAlign w:val="center"/>
          </w:tcPr>
          <w:p>
            <w:pPr>
              <w:spacing w:after="0"/>
            </w:pPr>
            <w:r>
              <w:rPr>
                <w:rFonts w:ascii="Calibri" w:cs="Calibri" w:eastAsia="Calibri" w:hAnsi="Calibri"/>
                <w:sz w:val="20"/>
                <w:szCs w:val="20"/>
              </w:rPr>
              <w:t xml:space="preserve">10 minutes par copie, chrono — vous venez de le faire en classe. Comparez avec le coût de reperdre les mêmes points à chaque DS de l’année.</w:t>
            </w:r>
          </w:p>
        </w:tc>
      </w:tr>
      <w:tr>
        <w:tc>
          <w:tcPr>
            <w:tcW w:type="dxa" w:w="4300"/>
            <w:tcMar>
              <w:top w:type="dxa" w:w="60"/>
              <w:left w:type="dxa" w:w="100"/>
              <w:bottom w:type="dxa" w:w="60"/>
              <w:right w:type="dxa" w:w="100"/>
            </w:tcMar>
            <w:vAlign w:val="center"/>
          </w:tcPr>
          <w:p>
            <w:pPr>
              <w:spacing w:after="0"/>
            </w:pPr>
            <w:r>
              <w:rPr>
                <w:rFonts w:ascii="Calibri" w:cs="Calibri" w:eastAsia="Calibri" w:hAnsi="Calibri"/>
                <w:sz w:val="20"/>
                <w:szCs w:val="20"/>
              </w:rPr>
              <w:t xml:space="preserve">« Mes erreurs changent à chaque fois, ça ne sert à rien de les noter. »</w:t>
            </w:r>
          </w:p>
        </w:tc>
        <w:tc>
          <w:tcPr>
            <w:tcW w:type="dxa" w:w="5000"/>
            <w:tcMar>
              <w:top w:type="dxa" w:w="60"/>
              <w:left w:type="dxa" w:w="100"/>
              <w:bottom w:type="dxa" w:w="60"/>
              <w:right w:type="dxa" w:w="100"/>
            </w:tcMar>
            <w:vAlign w:val="center"/>
          </w:tcPr>
          <w:p>
            <w:pPr>
              <w:spacing w:after="0"/>
            </w:pPr>
            <w:r>
              <w:rPr>
                <w:rFonts w:ascii="Calibri" w:cs="Calibri" w:eastAsia="Calibri" w:hAnsi="Calibri"/>
                <w:sz w:val="20"/>
                <w:szCs w:val="20"/>
              </w:rPr>
              <w:t xml:space="preserve">C’est précisément ce que le journal vérifie. Dans un mois, vos entrées trancheront : si elles se répètent, vous tenez votre levier ; si elles changent vraiment, vous l’aurez prouvé.</w:t>
            </w:r>
          </w:p>
        </w:tc>
      </w:tr>
    </w:tbl>
    <w:p>
      <w:pPr>
        <w:pStyle w:val="Heading1"/>
        <w:spacing w:after="140" w:before="260"/>
      </w:pPr>
      <w:r>
        <w:rPr>
          <w:rFonts w:ascii="Calibri" w:cs="Calibri" w:eastAsia="Calibri" w:hAnsi="Calibri"/>
          <w:b/>
          <w:bCs/>
          <w:color w:val="1F3864"/>
          <w:sz w:val="28"/>
          <w:szCs w:val="28"/>
        </w:rPr>
        <w:t xml:space="preserve">4. Encart « idées reçues » (commun à tous les guides du dispositif)</w:t>
      </w:r>
    </w:p>
    <w:p>
      <w:pPr>
        <w:shd w:fill="F2F2F2" w:val="clear"/>
        <w:spacing w:after="120" w:before="0"/>
      </w:pPr>
      <w:r>
        <w:rPr>
          <w:rFonts w:ascii="Calibri" w:cs="Calibri" w:eastAsia="Calibri" w:hAnsi="Calibri"/>
          <w:b/>
          <w:bCs/>
          <w:sz w:val="22"/>
          <w:szCs w:val="22"/>
        </w:rPr>
        <w:t xml:space="preserve">« Je suis visuel / auditif / kinesthésique. » </w:t>
      </w:r>
      <w:r>
        <w:rPr>
          <w:rFonts w:ascii="Calibri" w:cs="Calibri" w:eastAsia="Calibri" w:hAnsi="Calibri"/>
          <w:sz w:val="22"/>
          <w:szCs w:val="22"/>
        </w:rPr>
        <w:t xml:space="preserve">Les « styles d’apprentissage » sont un neuromythe invalidé (Pashler et al., 2008) : adapter l’enseignement au « style » déclaré n’améliore pas l’apprentissage. Ne jamais organiser une activité sur cette base.</w:t>
      </w:r>
    </w:p>
    <w:p>
      <w:pPr>
        <w:shd w:fill="F2F2F2" w:val="clear"/>
        <w:spacing w:after="120" w:before="0"/>
      </w:pPr>
      <w:r>
        <w:rPr>
          <w:rFonts w:ascii="Calibri" w:cs="Calibri" w:eastAsia="Calibri" w:hAnsi="Calibri"/>
          <w:b/>
          <w:bCs/>
          <w:sz w:val="22"/>
          <w:szCs w:val="22"/>
        </w:rPr>
        <w:t xml:space="preserve">« On n’utilise que 10 % de notre cerveau. » </w:t>
      </w:r>
      <w:r>
        <w:rPr>
          <w:rFonts w:ascii="Calibri" w:cs="Calibri" w:eastAsia="Calibri" w:hAnsi="Calibri"/>
          <w:sz w:val="22"/>
          <w:szCs w:val="22"/>
        </w:rPr>
        <w:t xml:space="preserve">Faux : l’imagerie montre que l’ensemble du cerveau est actif, y compris pendant le sommeil.</w:t>
      </w:r>
    </w:p>
    <w:p>
      <w:pPr>
        <w:shd w:fill="F2F2F2" w:val="clear"/>
        <w:spacing w:after="120" w:before="0"/>
      </w:pPr>
      <w:r>
        <w:rPr>
          <w:rFonts w:ascii="Calibri" w:cs="Calibri" w:eastAsia="Calibri" w:hAnsi="Calibri"/>
          <w:b/>
          <w:bCs/>
          <w:sz w:val="22"/>
          <w:szCs w:val="22"/>
        </w:rPr>
        <w:t xml:space="preserve">« Je suis cerveau droit / cerveau gauche. » </w:t>
      </w:r>
      <w:r>
        <w:rPr>
          <w:rFonts w:ascii="Calibri" w:cs="Calibri" w:eastAsia="Calibri" w:hAnsi="Calibri"/>
          <w:sz w:val="22"/>
          <w:szCs w:val="22"/>
        </w:rPr>
        <w:t xml:space="preserve">Faux : les deux hémisphères coopèrent dans toutes les tâches complexes ; il n’existe pas de profil « droit » ou « gauche ».</w:t>
      </w:r>
    </w:p>
    <w:p>
      <w:pPr>
        <w:shd w:fill="F2F2F2" w:val="clear"/>
        <w:spacing w:after="120" w:before="0"/>
      </w:pPr>
      <w:r>
        <w:rPr>
          <w:rFonts w:ascii="Calibri" w:cs="Calibri" w:eastAsia="Calibri" w:hAnsi="Calibri"/>
          <w:b/>
          <w:bCs/>
          <w:sz w:val="22"/>
          <w:szCs w:val="22"/>
        </w:rPr>
        <w:t xml:space="preserve">« Moi, la musique m’aide à travailler. » </w:t>
      </w:r>
      <w:r>
        <w:rPr>
          <w:rFonts w:ascii="Calibri" w:cs="Calibri" w:eastAsia="Calibri" w:hAnsi="Calibri"/>
          <w:sz w:val="22"/>
          <w:szCs w:val="22"/>
        </w:rPr>
        <w:t xml:space="preserve">Ça dépend des tâches : les paroles nuisent aux tâches verbales (lecture, rédaction, mémorisation de cours). Renvoyer à l’expérience vécue en séance A, sans en faire un débat d’opinion.</w:t>
      </w:r>
    </w:p>
    <w:p>
      <w:pPr>
        <w:shd w:fill="F2F2F2" w:val="clear"/>
        <w:spacing w:after="120" w:before="0"/>
      </w:pPr>
      <w:r>
        <w:rPr>
          <w:rFonts w:ascii="Calibri" w:cs="Calibri" w:eastAsia="Calibri" w:hAnsi="Calibri"/>
          <w:b/>
          <w:bCs/>
          <w:sz w:val="22"/>
          <w:szCs w:val="22"/>
        </w:rPr>
        <w:t xml:space="preserve">« Relire plusieurs fois, ça marche pour moi. » </w:t>
      </w:r>
      <w:r>
        <w:rPr>
          <w:rFonts w:ascii="Calibri" w:cs="Calibri" w:eastAsia="Calibri" w:hAnsi="Calibri"/>
          <w:sz w:val="22"/>
          <w:szCs w:val="22"/>
        </w:rPr>
        <w:t xml:space="preserve">C’est l’illusion de fluence : la relecture rend le texte familier, pas su (Bjork, Dunlosky &amp; Kornell, 2013). Renvoyer à l’expérience vécue en séance B.</w:t>
      </w:r>
    </w:p>
    <w:p>
      <w:pPr>
        <w:pStyle w:val="Heading1"/>
        <w:spacing w:after="140" w:before="260"/>
      </w:pPr>
      <w:r>
        <w:rPr>
          <w:rFonts w:ascii="Calibri" w:cs="Calibri" w:eastAsia="Calibri" w:hAnsi="Calibri"/>
          <w:b/>
          <w:bCs/>
          <w:color w:val="1F3864"/>
          <w:sz w:val="28"/>
          <w:szCs w:val="28"/>
        </w:rPr>
        <w:t xml:space="preserve">5. Plan B minuté</w:t>
      </w:r>
    </w:p>
    <w:p>
      <w:pPr>
        <w:spacing w:after="120" w:before="0"/>
      </w:pPr>
      <w:r>
        <w:rPr>
          <w:rFonts w:ascii="Calibri" w:cs="Calibri" w:eastAsia="Calibri" w:hAnsi="Calibri"/>
          <w:b/>
          <w:bCs/>
          <w:sz w:val="22"/>
          <w:szCs w:val="22"/>
        </w:rPr>
        <w:t xml:space="preserve">Incompressibles, jamais coupés : </w:t>
      </w:r>
      <w:r>
        <w:rPr>
          <w:rFonts w:ascii="Calibri" w:cs="Calibri" w:eastAsia="Calibri" w:hAnsi="Calibri"/>
          <w:sz w:val="22"/>
          <w:szCs w:val="22"/>
        </w:rPr>
        <w:t xml:space="preserve">la copie n°2 en autonomie (c’est elle qui installe le geste au format définitif), la stratégie unique, la trace écrite et l’engagement.</w:t>
      </w:r>
    </w:p>
    <w:p>
      <w:pPr>
        <w:spacing w:after="120" w:before="0"/>
      </w:pPr>
      <w:r>
        <w:rPr>
          <w:rFonts w:ascii="Calibri" w:cs="Calibri" w:eastAsia="Calibri" w:hAnsi="Calibri"/>
          <w:b/>
          <w:bCs/>
          <w:sz w:val="22"/>
          <w:szCs w:val="22"/>
        </w:rPr>
        <w:t xml:space="preserve">Si la phase 1 déborde (élèves sans le vécu E1, questions nombreuses) : </w:t>
      </w:r>
      <w:r>
        <w:rPr>
          <w:rFonts w:ascii="Calibri" w:cs="Calibri" w:eastAsia="Calibri" w:hAnsi="Calibri"/>
          <w:sz w:val="22"/>
          <w:szCs w:val="22"/>
        </w:rPr>
        <w:t xml:space="preserve">plafonnez à 7 minutes en renvoyant les exemples à la fiche atelier, et reprenez 2 minutes sur la phase 2 (analyse guidée ramenée à 18 minutes).</w:t>
      </w:r>
    </w:p>
    <w:p>
      <w:pPr>
        <w:spacing w:after="120" w:before="0"/>
      </w:pPr>
      <w:r>
        <w:rPr>
          <w:rFonts w:ascii="Calibri" w:cs="Calibri" w:eastAsia="Calibri" w:hAnsi="Calibri"/>
          <w:b/>
          <w:bCs/>
          <w:sz w:val="22"/>
          <w:szCs w:val="22"/>
        </w:rPr>
        <w:t xml:space="preserve">Si la phase 2 déborde : </w:t>
      </w:r>
      <w:r>
        <w:rPr>
          <w:rFonts w:ascii="Calibri" w:cs="Calibri" w:eastAsia="Calibri" w:hAnsi="Calibri"/>
          <w:sz w:val="22"/>
          <w:szCs w:val="22"/>
        </w:rPr>
        <w:t xml:space="preserve">stoppez à 25 min même si la copie n°1 n’est pas finie — l’objectif est le geste, pas l’exhaustivité. La copie n°2 peut être limitée aux 3 points perdus les plus coûteux.</w:t>
      </w:r>
    </w:p>
    <w:p>
      <w:pPr>
        <w:spacing w:after="120" w:before="0"/>
      </w:pPr>
      <w:r>
        <w:rPr>
          <w:rFonts w:ascii="Calibri" w:cs="Calibri" w:eastAsia="Calibri" w:hAnsi="Calibri"/>
          <w:b/>
          <w:bCs/>
          <w:sz w:val="22"/>
          <w:szCs w:val="22"/>
        </w:rPr>
        <w:t xml:space="preserve">Si le binôme déborde : </w:t>
      </w:r>
      <w:r>
        <w:rPr>
          <w:rFonts w:ascii="Calibri" w:cs="Calibri" w:eastAsia="Calibri" w:hAnsi="Calibri"/>
          <w:sz w:val="22"/>
          <w:szCs w:val="22"/>
        </w:rPr>
        <w:t xml:space="preserve">ramenez la phase 4 à 6 minutes (une seule entrée challengée chacun) pour protéger intégralement les phases 5 et 6.</w:t>
      </w:r>
    </w:p>
    <w:p>
      <w:pPr>
        <w:pStyle w:val="Heading1"/>
        <w:spacing w:after="140" w:before="260"/>
      </w:pPr>
      <w:r>
        <w:rPr>
          <w:rFonts w:ascii="Calibri" w:cs="Calibri" w:eastAsia="Calibri" w:hAnsi="Calibri"/>
          <w:b/>
          <w:bCs/>
          <w:color w:val="1F3864"/>
          <w:sz w:val="28"/>
          <w:szCs w:val="28"/>
        </w:rPr>
        <w:t xml:space="preserve">6. Les écueils — consignes négatives</w:t>
      </w:r>
    </w:p>
    <w:p>
      <w:pPr>
        <w:pStyle w:val="ListParagraph"/>
        <w:numPr>
          <w:ilvl w:val="0"/>
          <w:numId w:val="2"/>
        </w:numPr>
        <w:spacing w:after="120" w:before="0"/>
      </w:pPr>
      <w:r>
        <w:rPr>
          <w:rFonts w:ascii="Calibri" w:cs="Calibri" w:eastAsia="Calibri" w:hAnsi="Calibri"/>
          <w:sz w:val="22"/>
          <w:szCs w:val="22"/>
        </w:rPr>
        <w:t xml:space="preserve">Ne pas laisser le journal devenir un catalogue jamais relu : la relecture à J−2 de chaque DS fait partie de la méthode — elle figure dans l’engagement et sera vérifiée à la météo du transfert.</w:t>
      </w:r>
    </w:p>
    <w:p>
      <w:pPr>
        <w:pStyle w:val="ListParagraph"/>
        <w:numPr>
          <w:ilvl w:val="0"/>
          <w:numId w:val="2"/>
        </w:numPr>
        <w:spacing w:after="120" w:before="0"/>
      </w:pPr>
      <w:r>
        <w:rPr>
          <w:rFonts w:ascii="Calibri" w:cs="Calibri" w:eastAsia="Calibri" w:hAnsi="Calibri"/>
          <w:sz w:val="22"/>
          <w:szCs w:val="22"/>
        </w:rPr>
        <w:t xml:space="preserve">Ne pas accepter de causes auto-complaisantes (« pas de chance », « correcteur sévère », « inattention » généralisée) : appliquer la question-test, exiger des causes factuelles et vérifiables.</w:t>
      </w:r>
    </w:p>
    <w:p>
      <w:pPr>
        <w:pStyle w:val="ListParagraph"/>
        <w:numPr>
          <w:ilvl w:val="0"/>
          <w:numId w:val="2"/>
        </w:numPr>
        <w:spacing w:after="120" w:before="0"/>
      </w:pPr>
      <w:r>
        <w:rPr>
          <w:rFonts w:ascii="Calibri" w:cs="Calibri" w:eastAsia="Calibri" w:hAnsi="Calibri"/>
          <w:sz w:val="22"/>
          <w:szCs w:val="22"/>
        </w:rPr>
        <w:t xml:space="preserve">Ne pas dépasser 10 minutes par copie en régime de croisière : la séance apprend le geste, pas le luxe. Le chrono de la phase 3 pose la norme.</w:t>
      </w:r>
    </w:p>
    <w:p>
      <w:pPr>
        <w:pStyle w:val="ListParagraph"/>
        <w:numPr>
          <w:ilvl w:val="0"/>
          <w:numId w:val="2"/>
        </w:numPr>
        <w:spacing w:after="120" w:before="0"/>
      </w:pPr>
      <w:r>
        <w:rPr>
          <w:rFonts w:ascii="Calibri" w:cs="Calibri" w:eastAsia="Calibri" w:hAnsi="Calibri"/>
          <w:sz w:val="22"/>
          <w:szCs w:val="22"/>
        </w:rPr>
        <w:t xml:space="preserve">Ne pas laisser un élève repartir avec plusieurs stratégies, ou une stratégie vague : une seule, datée, vérifiable par oui/non.</w:t>
      </w:r>
    </w:p>
    <w:p>
      <w:pPr>
        <w:pStyle w:val="ListParagraph"/>
        <w:numPr>
          <w:ilvl w:val="0"/>
          <w:numId w:val="2"/>
        </w:numPr>
        <w:spacing w:after="120" w:before="0"/>
      </w:pPr>
      <w:r>
        <w:rPr>
          <w:rFonts w:ascii="Calibri" w:cs="Calibri" w:eastAsia="Calibri" w:hAnsi="Calibri"/>
          <w:sz w:val="22"/>
          <w:szCs w:val="22"/>
        </w:rPr>
        <w:t xml:space="preserve">Ne pas transformer la séance en séance de correction disciplinaire : le PP anime l’analyse des familles, il ne recorrige pas les copies — les questions de fond se notent et se posent au professeur concerné.</w:t>
      </w:r>
    </w:p>
    <w:p>
      <w:pPr>
        <w:pStyle w:val="Heading1"/>
        <w:spacing w:after="140" w:before="260"/>
      </w:pPr>
      <w:r>
        <w:rPr>
          <w:rFonts w:ascii="Calibri" w:cs="Calibri" w:eastAsia="Calibri" w:hAnsi="Calibri"/>
          <w:b/>
          <w:bCs/>
          <w:color w:val="1F3864"/>
          <w:sz w:val="28"/>
          <w:szCs w:val="28"/>
        </w:rPr>
        <w:t xml:space="preserve">7. Message ENT type (à envoyer à J−3)</w:t>
      </w:r>
    </w:p>
    <w:p>
      <w:pPr>
        <w:shd w:fill="F2F2F2" w:val="clear"/>
        <w:spacing w:after="40" w:before="0"/>
      </w:pPr>
      <w:r>
        <w:rPr>
          <w:rFonts w:ascii="Calibri" w:cs="Calibri" w:eastAsia="Calibri" w:hAnsi="Calibri"/>
          <w:b/>
          <w:bCs/>
          <w:sz w:val="22"/>
          <w:szCs w:val="22"/>
        </w:rPr>
        <w:t xml:space="preserve">Objet : Vie de classe de [date] — apporter 2 copies d’EDS</w:t>
      </w:r>
    </w:p>
    <w:p>
      <w:pPr>
        <w:shd w:fill="F2F2F2" w:val="clear"/>
        <w:spacing w:after="120" w:before="0"/>
      </w:pPr>
      <w:r>
        <w:rPr>
          <w:rFonts w:ascii="Calibri" w:cs="Calibri" w:eastAsia="Calibri" w:hAnsi="Calibri"/>
          <w:i/>
          <w:iCs/>
          <w:sz w:val="22"/>
          <w:szCs w:val="22"/>
        </w:rPr>
        <w:t xml:space="preserve">Bonjour à tous. Pour la vie de classe de [date], apportez impérativement : (1) deux copies récentes et corrigées de vos enseignements de spécialité — de préférence deux matières différentes, et des copies où vous avez perdu des points ; (2) votre carnet de méthodes. Nous travaillerons directement sur vos copies : sans elles, vous ne pourrez pas profiter de la séance. À [jour].</w:t>
      </w:r>
    </w:p>
    <w:p>
      <w:pPr>
        <w:pStyle w:val="Heading1"/>
        <w:spacing w:after="140" w:before="260"/>
      </w:pPr>
      <w:r>
        <w:rPr>
          <w:rFonts w:ascii="Calibri" w:cs="Calibri" w:eastAsia="Calibri" w:hAnsi="Calibri"/>
          <w:b/>
          <w:bCs/>
          <w:color w:val="1F3864"/>
          <w:sz w:val="28"/>
          <w:szCs w:val="28"/>
        </w:rPr>
        <w:t xml:space="preserve">8. Suivi après la séance</w:t>
      </w:r>
    </w:p>
    <w:p>
      <w:pPr>
        <w:spacing w:after="120" w:before="0"/>
      </w:pPr>
      <w:r>
        <w:rPr>
          <w:rFonts w:ascii="Calibri" w:cs="Calibri" w:eastAsia="Calibri" w:hAnsi="Calibri"/>
          <w:b/>
          <w:bCs/>
          <w:sz w:val="22"/>
          <w:szCs w:val="22"/>
        </w:rPr>
        <w:t xml:space="preserve">Météo du transfert (rituel standard, 3 à 5 min à la vie de classe suivante) : </w:t>
      </w:r>
      <w:r>
        <w:rPr>
          <w:rFonts w:ascii="Calibri" w:cs="Calibri" w:eastAsia="Calibri" w:hAnsi="Calibri"/>
          <w:sz w:val="22"/>
          <w:szCs w:val="22"/>
        </w:rPr>
        <w:t xml:space="preserve">(1) main levée : « qui a fait entrer au journal chaque copie rendue cette semaine ? » — comptage rapide, sans stigmatisation ; (2) deux témoignages volontaires : un obstacle, une astuce qui a fonctionné ; (3) relance : reformulation de l’engagement pour la semaine suivante, les élèves cochent dans le carnet.</w:t>
      </w:r>
    </w:p>
    <w:p>
      <w:pPr>
        <w:spacing w:after="120" w:before="0"/>
      </w:pPr>
      <w:r>
        <w:rPr>
          <w:rFonts w:ascii="Calibri" w:cs="Calibri" w:eastAsia="Calibri" w:hAnsi="Calibri"/>
          <w:b/>
          <w:bCs/>
          <w:sz w:val="22"/>
          <w:szCs w:val="22"/>
        </w:rPr>
        <w:t xml:space="preserve">Suivi complémentaire spécifique E2 : </w:t>
      </w:r>
      <w:r>
        <w:rPr>
          <w:rFonts w:ascii="Calibri" w:cs="Calibri" w:eastAsia="Calibri" w:hAnsi="Calibri"/>
          <w:sz w:val="22"/>
          <w:szCs w:val="22"/>
        </w:rPr>
        <w:t xml:space="preserve">revue de journaux volontaires (3-4 élèves, sur la base du volontariat, regard bienveillant : les entrées existent-elles ? les causes sont-elles factuelles ?) et météo complète à J+30 : « votre journal a-t-il été relu avant un DS ? la stratégie a-t-elle été tenue ? votre famille dominante a-t-elle bougé ? ».</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2026-07-14T05:43:46.482Z</dcterms:created>
  <dcterms:modified xsi:type="dcterms:W3CDTF">2026-07-14T05:43:46.501Z</dcterms:modified>
</cp:coreProperties>
</file>

<file path=docProps/custom.xml><?xml version="1.0" encoding="utf-8"?>
<Properties xmlns="http://schemas.openxmlformats.org/officeDocument/2006/custom-properties" xmlns:vt="http://schemas.openxmlformats.org/officeDocument/2006/docPropsVTypes"/>
</file>