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808080"/>
          <w:sz w:val="18"/>
          <w:szCs w:val="18"/>
        </w:rPr>
        <w:t xml:space="preserve">Dispositif « Apprendre à apprendre » · Institut Stanislas de Cannes</w:t>
      </w:r>
    </w:p>
    <w:p>
      <w:pPr>
        <w:spacing w:after="20"/>
      </w:pPr>
      <w:r>
        <w:rPr>
          <w:rFonts w:ascii="Calibri" w:cs="Calibri" w:eastAsia="Calibri" w:hAnsi="Calibri"/>
          <w:b/>
          <w:bCs/>
          <w:color w:val="1F3864"/>
          <w:sz w:val="32"/>
          <w:szCs w:val="32"/>
        </w:rPr>
        <w:t xml:space="preserve">S1a · Mémoriser activement : s’interroger, et des fiches qui interrogent</w:t>
      </w:r>
    </w:p>
    <w:p>
      <w:pPr>
        <w:pBdr>
          <w:bottom w:val="single" w:color="1F3864" w:sz="12" w:space="4"/>
        </w:pBdr>
        <w:spacing w:after="60"/>
      </w:pPr>
      <w:r>
        <w:rPr>
          <w:rFonts w:ascii="Calibri" w:cs="Calibri" w:eastAsia="Calibri" w:hAnsi="Calibri"/>
          <w:i/>
          <w:iCs/>
          <w:color w:val="595959"/>
          <w:sz w:val="22"/>
          <w:szCs w:val="22"/>
        </w:rPr>
        <w:t xml:space="preserve">Guide d’animation du professeur principal — 1re (séance socle, parcours d’intégration § 3.4)</w:t>
      </w:r>
    </w:p>
    <w:p>
      <w:pPr>
        <w:pStyle w:val="Heading1"/>
        <w:keepNext/>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Engagement actif — formulation élève : « Je n’apprends que si je fais l’effort de chercher ».</w:t>
      </w:r>
    </w:p>
    <w:p>
      <w:pPr>
        <w:spacing w:after="120" w:before="0"/>
      </w:pPr>
      <w:r>
        <w:rPr>
          <w:rFonts w:ascii="Calibri" w:cs="Calibri" w:eastAsia="Calibri" w:hAnsi="Calibri"/>
          <w:b/>
          <w:bCs/>
          <w:sz w:val="22"/>
          <w:szCs w:val="22"/>
        </w:rPr>
        <w:t xml:space="preserve">Nature de la séance : </w:t>
      </w:r>
      <w:r>
        <w:rPr>
          <w:rFonts w:ascii="Calibri" w:cs="Calibri" w:eastAsia="Calibri" w:hAnsi="Calibri"/>
          <w:sz w:val="22"/>
          <w:szCs w:val="22"/>
        </w:rPr>
        <w:t xml:space="preserve">séance socle du parcours d’intégration, fusion condensée de B1 (s’interroger au lieu de relire) et de B2 (fiches qui interrogent). Elle installe le geste fondateur de la mémorisation active pour des élèves qui n’ont pas vécu les séances de 3e et de 2de.</w:t>
      </w:r>
    </w:p>
    <w:p>
      <w:pPr>
        <w:pBdr>
          <w:top w:val="single" w:color="C00000" w:sz="6" w:space="6"/>
          <w:left w:val="single" w:color="C00000" w:sz="6" w:space="8"/>
          <w:right w:val="single" w:color="C00000" w:sz="6" w:space="8"/>
        </w:pBdr>
        <w:shd w:fill="FCE9E9" w:val="clear"/>
        <w:spacing w:after="80" w:before="0"/>
      </w:pPr>
      <w:r>
        <w:rPr>
          <w:rFonts w:ascii="Calibri" w:cs="Calibri" w:eastAsia="Calibri" w:hAnsi="Calibri"/>
          <w:b/>
          <w:bCs/>
          <w:color w:val="C00000"/>
          <w:sz w:val="21"/>
          <w:szCs w:val="21"/>
        </w:rPr>
        <w:t xml:space="preserve">POSITION IMPÉRATIVE DANS L’ANNÉE</w:t>
      </w:r>
    </w:p>
    <w:p>
      <w:pPr>
        <w:pBdr>
          <w:bottom w:val="single" w:color="C00000" w:sz="6" w:space="6"/>
          <w:left w:val="single" w:color="C00000" w:sz="6" w:space="8"/>
          <w:right w:val="single" w:color="C00000" w:sz="6" w:space="8"/>
        </w:pBdr>
        <w:shd w:fill="FCE9E9" w:val="clear"/>
        <w:spacing w:after="0" w:before="0"/>
      </w:pPr>
      <w:r>
        <w:rPr>
          <w:rFonts w:ascii="Calibri" w:cs="Calibri" w:eastAsia="Calibri" w:hAnsi="Calibri"/>
          <w:b/>
          <w:bCs/>
          <w:sz w:val="21"/>
          <w:szCs w:val="21"/>
        </w:rPr>
        <w:t xml:space="preserve">Première séance de l’année de 1re, </w:t>
      </w:r>
      <w:r>
        <w:rPr>
          <w:rFonts w:ascii="Calibri" w:cs="Calibri" w:eastAsia="Calibri" w:hAnsi="Calibri"/>
          <w:sz w:val="21"/>
          <w:szCs w:val="21"/>
        </w:rPr>
        <w:t xml:space="preserve">avant B3 (réactivation espacée). Le geste installé ici est le prérequis direct de B3, C3, E2 et D2. Ne pas inverser l’ordre.</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constaté sur lui-même l’écart d’efficacité entre relecture et auto-interrogation, (2) a fabriqué 8 à 10 questions de rappel et d’application sur un chapitre d’enseignement de spécialité, (3) a converti une demi-page de fiche-résumé en fiche de récupération (questions au recto, réponses au verso).</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testing effect (Roediger &amp; Karpicke, 2006 — solidement établi, un des effets les plus répliqués du champ ; Dunlosky et al., 2013 : s’auto-tester est classé en utilité élevée, relire et surligner en utilité faible) ; illusion de fluence de la relecture (Bjork, Dunlosky &amp; Kornell, 2013 — établi).</w:t>
      </w:r>
    </w:p>
    <w:p>
      <w:pPr>
        <w:pBdr>
          <w:top w:val="single" w:color="999999" w:sz="6" w:space="6"/>
          <w:bottom w:val="single" w:color="999999" w:sz="6" w:space="6"/>
          <w:left w:val="single" w:color="999999" w:sz="6" w:space="8"/>
          <w:right w:val="single" w:color="999999" w:sz="6" w:space="8"/>
        </w:pBdr>
        <w:shd w:fill="F2F2F2" w:val="clear"/>
        <w:spacing w:after="0" w:before="0"/>
      </w:pPr>
      <w:r>
        <w:rPr>
          <w:rFonts w:ascii="Calibri" w:cs="Calibri" w:eastAsia="Calibri" w:hAnsi="Calibri"/>
          <w:b/>
          <w:bCs/>
          <w:sz w:val="21"/>
          <w:szCs w:val="21"/>
        </w:rPr>
        <w:t xml:space="preserve">Limite assumée de cette séance socle (§ 3.4.3) : </w:t>
      </w:r>
      <w:r>
        <w:rPr>
          <w:rFonts w:ascii="Calibri" w:cs="Calibri" w:eastAsia="Calibri" w:hAnsi="Calibri"/>
          <w:i/>
          <w:iCs/>
          <w:sz w:val="21"/>
          <w:szCs w:val="21"/>
        </w:rPr>
        <w:t xml:space="preserve">la calibration quantifiée (prédiction de score puis mesure de l’écart), présente en B2 de 2de, n’est pas reprise ici, faute de temps. Elle sera réintroduite par touches en E2 (journal d’erreurs), puis pleinement en B4 (Terminale). </w:t>
      </w:r>
      <w:r>
        <w:rPr>
          <w:rFonts w:ascii="Calibri" w:cs="Calibri" w:eastAsia="Calibri" w:hAnsi="Calibri"/>
          <w:b/>
          <w:bCs/>
          <w:i/>
          <w:iCs/>
          <w:sz w:val="21"/>
          <w:szCs w:val="21"/>
        </w:rPr>
        <w:t xml:space="preserve">Ne cherchez pas à la rajouter : la séance est déjà dense.</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85 % du temps (norme du dispositif : ≥ 60 %).</w:t>
      </w:r>
    </w:p>
    <w:p>
      <w:pPr>
        <w:spacing w:after="120" w:before="0"/>
      </w:pPr>
      <w:r>
        <w:rPr>
          <w:rFonts w:ascii="Calibri" w:cs="Calibri" w:eastAsia="Calibri" w:hAnsi="Calibri"/>
          <w:b/>
          <w:bCs/>
          <w:sz w:val="22"/>
          <w:szCs w:val="22"/>
        </w:rPr>
        <w:t xml:space="preserve">Lien avec la suite : </w:t>
      </w:r>
      <w:r>
        <w:rPr>
          <w:rFonts w:ascii="Calibri" w:cs="Calibri" w:eastAsia="Calibri" w:hAnsi="Calibri"/>
          <w:sz w:val="22"/>
          <w:szCs w:val="22"/>
        </w:rPr>
        <w:t xml:space="preserve">le cycle appris ici est prolongé dans toutes les séances B (B3 : réactivation espacée ; B4 : consolidation avant les écrits) et sert de base à D2 (entraînement) et E2 (journal d’erreurs).</w:t>
      </w:r>
    </w:p>
    <w:p>
      <w:pPr>
        <w:pBdr>
          <w:top w:val="single" w:color="C00000" w:sz="6" w:space="6"/>
          <w:left w:val="single" w:color="C00000" w:sz="6" w:space="8"/>
          <w:right w:val="single" w:color="C00000" w:sz="6" w:space="8"/>
        </w:pBdr>
        <w:shd w:fill="FCE9E9" w:val="clear"/>
        <w:spacing w:after="80" w:before="0"/>
      </w:pPr>
      <w:r>
        <w:rPr>
          <w:rFonts w:ascii="Calibri" w:cs="Calibri" w:eastAsia="Calibri" w:hAnsi="Calibri"/>
          <w:b/>
          <w:bCs/>
          <w:color w:val="C00000"/>
          <w:sz w:val="21"/>
          <w:szCs w:val="21"/>
        </w:rPr>
        <w:t xml:space="preserve">À SE PROCURER OU À PRÉPARER AVANT LA SÉANCE</w:t>
      </w:r>
    </w:p>
    <w:p>
      <w:pPr>
        <w:pBdr>
          <w:left w:val="single" w:color="C00000" w:sz="6" w:space="8"/>
          <w:right w:val="single" w:color="C00000" w:sz="6" w:space="8"/>
        </w:pBdr>
        <w:shd w:fill="FCE9E9" w:val="clear"/>
        <w:spacing w:after="80" w:before="0"/>
      </w:pPr>
      <w:r>
        <w:rPr>
          <w:rFonts w:ascii="Calibri" w:cs="Calibri" w:eastAsia="Calibri" w:hAnsi="Calibri"/>
          <w:sz w:val="21"/>
          <w:szCs w:val="21"/>
        </w:rPr>
        <w:t xml:space="preserve">– Demander aux élèves, au moins 3 jours avant, d’apporter : le cours d’un enseignement de spécialité (chapitre en cours) ET une fiche de révision existante (ou, à défaut, le cours pour en amorcer une). Message type ENT fourni en fin de guide (annexe D).</w:t>
      </w:r>
    </w:p>
    <w:p>
      <w:pPr>
        <w:pBdr>
          <w:left w:val="single" w:color="C00000" w:sz="6" w:space="8"/>
          <w:right w:val="single" w:color="C00000" w:sz="6" w:space="8"/>
        </w:pBdr>
        <w:shd w:fill="FCE9E9" w:val="clear"/>
        <w:spacing w:after="80" w:before="0"/>
      </w:pPr>
      <w:r>
        <w:rPr>
          <w:rFonts w:ascii="Calibri" w:cs="Calibri" w:eastAsia="Calibri" w:hAnsi="Calibri"/>
          <w:sz w:val="21"/>
          <w:szCs w:val="21"/>
        </w:rPr>
        <w:t xml:space="preserve">– Photocopies des supports élèves : 1 feuille d’expérience A/B (3 pages, à tourner au signal), 1 fiche atelier, 1 gabarit de conversion, 1 trace écrite par élève. Carnets de méthodes vierges pour toute la classe (première séance de l’année 2026-2027 : maquette du kit transversal ; à défaut, une section dédiée du classeur, § 1.3).</w:t>
      </w:r>
    </w:p>
    <w:p>
      <w:pPr>
        <w:pBdr>
          <w:left w:val="single" w:color="C00000" w:sz="6" w:space="8"/>
          <w:right w:val="single" w:color="C00000" w:sz="6" w:space="8"/>
        </w:pBdr>
        <w:shd w:fill="FCE9E9" w:val="clear"/>
        <w:spacing w:after="80" w:before="0"/>
      </w:pPr>
      <w:r>
        <w:rPr>
          <w:rFonts w:ascii="Calibri" w:cs="Calibri" w:eastAsia="Calibri" w:hAnsi="Calibri"/>
          <w:sz w:val="21"/>
          <w:szCs w:val="21"/>
        </w:rPr>
        <w:t xml:space="preserve">– Un chronomètre projetable (minuteur en ligne ou intégré au diaporama).</w:t>
      </w:r>
    </w:p>
    <w:p>
      <w:pPr>
        <w:pBdr>
          <w:bottom w:val="single" w:color="C00000" w:sz="6" w:space="6"/>
          <w:left w:val="single" w:color="C00000" w:sz="6" w:space="8"/>
          <w:right w:val="single" w:color="C00000" w:sz="6" w:space="8"/>
        </w:pBdr>
        <w:shd w:fill="FCE9E9" w:val="clear"/>
        <w:spacing w:after="0" w:before="0"/>
      </w:pPr>
      <w:r>
        <w:rPr>
          <w:rFonts w:ascii="Calibri" w:cs="Calibri" w:eastAsia="Calibri" w:hAnsi="Calibri"/>
          <w:i/>
          <w:iCs/>
          <w:sz w:val="21"/>
          <w:szCs w:val="21"/>
        </w:rPr>
        <w:t xml:space="preserve">Aucun autre matériel local : les documents A et B de l’expérience, le test différé et son corrigé, le gabarit de conversion et ses exemples (deux variantes disciplinaires) sont fournis dans ce kit.</w:t>
      </w:r>
    </w:p>
    <w:p>
      <w:pPr>
        <w:pStyle w:val="Heading2"/>
        <w:keepNext/>
        <w:spacing w:after="100" w:before="200"/>
      </w:pPr>
      <w:r>
        <w:rPr>
          <w:rFonts w:ascii="Calibri" w:cs="Calibri" w:eastAsia="Calibri" w:hAnsi="Calibri"/>
          <w:b/>
          <w:bCs/>
          <w:color w:val="2E5395"/>
          <w:sz w:val="24"/>
          <w:szCs w:val="24"/>
        </w:rPr>
        <w:t xml:space="preserve">Minutage récapitulatif</w:t>
      </w:r>
    </w:p>
    <w:tbl>
      <w:tblPr>
        <w:tblW w:type="dxa" w:w="9540"/>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4560"/>
        <w:gridCol w:w="1180"/>
        <w:gridCol w:w="2320"/>
        <w:gridCol w:w="720"/>
      </w:tblGrid>
      <w:tr>
        <w:trPr>
          <w:tblHeader/>
        </w:trPr>
        <w:tc>
          <w:tcPr>
            <w:tcW w:type="dxa" w:w="76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Min</w:t>
            </w:r>
          </w:p>
        </w:tc>
        <w:tc>
          <w:tcPr>
            <w:tcW w:type="dxa" w:w="456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Phase</w:t>
            </w:r>
          </w:p>
        </w:tc>
        <w:tc>
          <w:tcPr>
            <w:tcW w:type="dxa" w:w="118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Modalité</w:t>
            </w:r>
          </w:p>
        </w:tc>
        <w:tc>
          <w:tcPr>
            <w:tcW w:type="dxa" w:w="232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Rôle du PP</w:t>
            </w:r>
          </w:p>
        </w:tc>
        <w:tc>
          <w:tcPr>
            <w:tcW w:type="dxa" w:w="72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Écrans</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0–10</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Expérience (sans en dévoiler l’objet) : document A appris par relecture (3 min) ; document B lu (1 min 30) puis rappel écrit feuille retournée (1 min 30) ; annonce d’un test « plus tard »</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Individuel</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Chronomètre strictement, ne révèle pas l’hypothèse</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1–4</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10–25</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Atelier : sur son chapitre d’EDS, fabriquer 8 à 10 questions dont au moins 3 d’application (pas de pure restitution)</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Individuel</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Circule avec la grille, rehausse les questions trop factuelles</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5–6</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25–33</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Interrogation croisée en binôme, cahier fermé, cotation S / P / N</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Binôme</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Régule, veille au cahier fermé</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7</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33–40</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Test différé sur A et B ; corrigé et scores ; nommage : testing effect, illusion de fluence</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Indiv. puis classe</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Collecte les scores, fait émerger la conclusion des chiffres</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8–10</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40–50</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Conversion express : une demi-page de fiche-résumé → 5 questions recto/verso ; règle d’or</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Individuel</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Refuse les fiches qui « racontent »</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11–12</w:t>
            </w:r>
          </w:p>
        </w:tc>
      </w:tr>
      <w:tr>
        <w:trPr>
          <w:trHeight w:val="300" w:hRule="atLeast"/>
        </w:trPr>
        <w:tc>
          <w:tcPr>
            <w:tcW w:type="dxa" w:w="760"/>
            <w:tcMar>
              <w:top w:type="dxa" w:w="60"/>
              <w:left w:type="dxa" w:w="90"/>
              <w:bottom w:type="dxa" w:w="60"/>
              <w:right w:type="dxa" w:w="90"/>
            </w:tcMar>
            <w:vAlign w:val="center"/>
          </w:tcPr>
          <w:p>
            <w:pPr>
              <w:spacing w:after="0"/>
            </w:pPr>
            <w:r>
              <w:rPr>
                <w:rFonts w:ascii="Calibri" w:cs="Calibri" w:eastAsia="Calibri" w:hAnsi="Calibri"/>
                <w:sz w:val="20"/>
                <w:szCs w:val="20"/>
              </w:rPr>
              <w:t xml:space="preserve">50–55</w:t>
            </w:r>
          </w:p>
        </w:tc>
        <w:tc>
          <w:tcPr>
            <w:tcW w:type="dxa" w:w="4560"/>
            <w:tcMar>
              <w:top w:type="dxa" w:w="60"/>
              <w:left w:type="dxa" w:w="90"/>
              <w:bottom w:type="dxa" w:w="60"/>
              <w:right w:type="dxa" w:w="90"/>
            </w:tcMar>
            <w:vAlign w:val="center"/>
          </w:tcPr>
          <w:p>
            <w:pPr>
              <w:spacing w:after="0"/>
            </w:pPr>
            <w:r>
              <w:rPr>
                <w:rFonts w:ascii="Calibri" w:cs="Calibri" w:eastAsia="Calibri" w:hAnsi="Calibri"/>
                <w:sz w:val="20"/>
                <w:szCs w:val="20"/>
              </w:rPr>
              <w:t xml:space="preserve">Trace écrite au carnet + engagement de transfert 7 jours</w:t>
            </w:r>
          </w:p>
        </w:tc>
        <w:tc>
          <w:tcPr>
            <w:tcW w:type="dxa" w:w="1180"/>
            <w:tcMar>
              <w:top w:type="dxa" w:w="60"/>
              <w:left w:type="dxa" w:w="90"/>
              <w:bottom w:type="dxa" w:w="60"/>
              <w:right w:type="dxa" w:w="90"/>
            </w:tcMar>
            <w:vAlign w:val="center"/>
          </w:tcPr>
          <w:p>
            <w:pPr>
              <w:spacing w:after="0"/>
            </w:pPr>
            <w:r>
              <w:rPr>
                <w:rFonts w:ascii="Calibri" w:cs="Calibri" w:eastAsia="Calibri" w:hAnsi="Calibri"/>
                <w:sz w:val="20"/>
                <w:szCs w:val="20"/>
              </w:rPr>
              <w:t xml:space="preserve">Individuel</w:t>
            </w:r>
          </w:p>
        </w:tc>
        <w:tc>
          <w:tcPr>
            <w:tcW w:type="dxa" w:w="2320"/>
            <w:tcMar>
              <w:top w:type="dxa" w:w="60"/>
              <w:left w:type="dxa" w:w="90"/>
              <w:bottom w:type="dxa" w:w="60"/>
              <w:right w:type="dxa" w:w="90"/>
            </w:tcMar>
            <w:vAlign w:val="center"/>
          </w:tcPr>
          <w:p>
            <w:pPr>
              <w:spacing w:after="0"/>
            </w:pPr>
            <w:r>
              <w:rPr>
                <w:rFonts w:ascii="Calibri" w:cs="Calibri" w:eastAsia="Calibri" w:hAnsi="Calibri"/>
                <w:sz w:val="20"/>
                <w:szCs w:val="20"/>
              </w:rPr>
              <w:t xml:space="preserve">Formalise le cycle et la règle d’or</w:t>
            </w:r>
          </w:p>
        </w:tc>
        <w:tc>
          <w:tcPr>
            <w:tcW w:type="dxa" w:w="720"/>
            <w:tcMar>
              <w:top w:type="dxa" w:w="60"/>
              <w:left w:type="dxa" w:w="90"/>
              <w:bottom w:type="dxa" w:w="60"/>
              <w:right w:type="dxa" w:w="90"/>
            </w:tcMar>
            <w:vAlign w:val="center"/>
          </w:tcPr>
          <w:p>
            <w:pPr>
              <w:spacing w:after="0"/>
            </w:pPr>
            <w:r>
              <w:rPr>
                <w:rFonts w:ascii="Calibri" w:cs="Calibri" w:eastAsia="Calibri" w:hAnsi="Calibri"/>
                <w:sz w:val="20"/>
                <w:szCs w:val="20"/>
              </w:rPr>
              <w:t xml:space="preserve">13</w:t>
            </w:r>
          </w:p>
        </w:tc>
      </w:tr>
    </w:tbl>
    <w:p>
      <w:pPr>
        <w:spacing w:after="120" w:before="0"/>
      </w:pPr>
      <w:r>
        <w:rPr>
          <w:rFonts w:ascii="Calibri" w:cs="Calibri" w:eastAsia="Calibri" w:hAnsi="Calibri"/>
          <w:b/>
          <w:bCs/>
          <w:sz w:val="20"/>
          <w:szCs w:val="20"/>
        </w:rPr>
        <w:t xml:space="preserve">Note : </w:t>
      </w:r>
      <w:r>
        <w:rPr>
          <w:rFonts w:ascii="Calibri" w:cs="Calibri" w:eastAsia="Calibri" w:hAnsi="Calibri"/>
          <w:i/>
          <w:iCs/>
          <w:sz w:val="20"/>
          <w:szCs w:val="20"/>
        </w:rPr>
        <w:t xml:space="preserve">13 écrans, conformes à la fiche squelette. La colonne d’activité élève (phases I et B) représente environ 48 minutes sur 55.</w:t>
      </w:r>
    </w:p>
    <w:p>
      <w:r>
        <w:br w:type="page"/>
      </w:r>
    </w:p>
    <w:p>
      <w:pPr>
        <w:pStyle w:val="Heading1"/>
        <w:keepNext/>
        <w:spacing w:after="140" w:before="260"/>
      </w:pPr>
      <w:r>
        <w:rPr>
          <w:rFonts w:ascii="Calibri" w:cs="Calibri" w:eastAsia="Calibri" w:hAnsi="Calibri"/>
          <w:b/>
          <w:bCs/>
          <w:color w:val="1F3864"/>
          <w:sz w:val="28"/>
          <w:szCs w:val="28"/>
        </w:rPr>
        <w:t xml:space="preserve">2. Script phase par phase</w:t>
      </w:r>
    </w:p>
    <w:p>
      <w:pPr>
        <w:pStyle w:val="Heading2"/>
        <w:keepNext/>
        <w:spacing w:after="100" w:before="200"/>
      </w:pPr>
      <w:r>
        <w:rPr>
          <w:rFonts w:ascii="Calibri" w:cs="Calibri" w:eastAsia="Calibri" w:hAnsi="Calibri"/>
          <w:b/>
          <w:bCs/>
          <w:color w:val="2E5395"/>
          <w:sz w:val="24"/>
          <w:szCs w:val="24"/>
        </w:rPr>
        <w:t xml:space="preserve">Phase 1 — L’expérience A/B (0–10 min, individuel, écrans 1–4)</w:t>
      </w:r>
    </w:p>
    <w:p>
      <w:pPr>
        <w:spacing w:after="120" w:before="0"/>
      </w:pPr>
      <w:r>
        <w:rPr>
          <w:rFonts w:ascii="Calibri" w:cs="Calibri" w:eastAsia="Calibri" w:hAnsi="Calibri"/>
          <w:b/>
          <w:bCs/>
          <w:sz w:val="22"/>
          <w:szCs w:val="22"/>
        </w:rPr>
        <w:t xml:space="preserve">Principe absolu : ne dites pas ce que l’on cherche à démontrer. </w:t>
      </w:r>
      <w:r>
        <w:rPr>
          <w:rFonts w:ascii="Calibri" w:cs="Calibri" w:eastAsia="Calibri" w:hAnsi="Calibri"/>
          <w:sz w:val="22"/>
          <w:szCs w:val="22"/>
        </w:rPr>
        <w:t xml:space="preserve">Si vous annoncez que s’interroger vaut mieux que relire, la démonstration est morte. L’expérience doit parler à la fin de l’heure, par les chiffres de la classe.</w:t>
      </w:r>
    </w:p>
    <w:p>
      <w:pPr>
        <w:spacing w:after="120" w:before="0"/>
      </w:pPr>
      <w:r>
        <w:rPr>
          <w:rFonts w:ascii="Calibri" w:cs="Calibri" w:eastAsia="Calibri" w:hAnsi="Calibri"/>
          <w:b/>
          <w:bCs/>
          <w:sz w:val="22"/>
          <w:szCs w:val="22"/>
        </w:rPr>
        <w:t xml:space="preserve">Matériel : </w:t>
      </w:r>
      <w:r>
        <w:rPr>
          <w:rFonts w:ascii="Calibri" w:cs="Calibri" w:eastAsia="Calibri" w:hAnsi="Calibri"/>
          <w:sz w:val="22"/>
          <w:szCs w:val="22"/>
        </w:rPr>
        <w:t xml:space="preserve">la feuille d’expérience (support 1) compte 3 pages, à tourner uniquement au signal : page 1 le document A, page 2 le document B, page 3 la zone de rappel puis la zone de test. Ainsi, aucun texte n’est visible pendant le rappel ni pendant le test. Les textes complets sont aussi en annexes A et B de ce guide.</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On commence par une expérience. Deux textes courts, deux façons de les apprendre. Vous suivez exactement mes consignes de temps, sans anticiper et sans tourner les pages avant le signal. Page 1, document A.</w:t>
      </w:r>
      <w:r>
        <w:rPr>
          <w:rFonts w:ascii="Calibri" w:cs="Calibri" w:eastAsia="Calibri" w:hAnsi="Calibri"/>
          <w:b/>
          <w:bCs/>
          <w:color w:val="2E5395"/>
          <w:sz w:val="22"/>
          <w:szCs w:val="22"/>
        </w:rPr>
        <w:t xml:space="preserve">  »</w:t>
      </w:r>
    </w:p>
    <w:p>
      <w:pPr>
        <w:spacing w:after="120" w:before="0"/>
      </w:pPr>
      <w:r>
        <w:rPr>
          <w:rFonts w:ascii="Calibri" w:cs="Calibri" w:eastAsia="Calibri" w:hAnsi="Calibri"/>
          <w:b/>
          <w:bCs/>
          <w:sz w:val="22"/>
          <w:szCs w:val="22"/>
        </w:rPr>
        <w:t xml:space="preserve">Déroulement minuté : </w:t>
      </w:r>
    </w:p>
    <w:p>
      <w:pPr>
        <w:pStyle w:val="ListParagraph"/>
        <w:numPr>
          <w:ilvl w:val="0"/>
          <w:numId w:val="2"/>
        </w:numPr>
        <w:spacing w:after="120" w:before="0"/>
      </w:pPr>
      <w:r>
        <w:rPr>
          <w:rFonts w:ascii="Calibri" w:cs="Calibri" w:eastAsia="Calibri" w:hAnsi="Calibri"/>
          <w:b/>
          <w:bCs/>
          <w:sz w:val="22"/>
          <w:szCs w:val="22"/>
        </w:rPr>
        <w:t xml:space="preserve">Document A — relecture (3 min, écran 2) : </w:t>
      </w:r>
      <w:r>
        <w:rPr>
          <w:rFonts w:ascii="Calibri" w:cs="Calibri" w:eastAsia="Calibri" w:hAnsi="Calibri"/>
          <w:sz w:val="22"/>
          <w:szCs w:val="22"/>
        </w:rPr>
        <w:t xml:space="preserve">« Lisez et relisez le document A pendant 3 minutes. Vous ne notez rien, vous relisez, comme on révise souvent. » Lancez le chrono 3:00. Au signal : « Tournez la page. »</w:t>
      </w:r>
    </w:p>
    <w:p>
      <w:pPr>
        <w:pStyle w:val="ListParagraph"/>
        <w:numPr>
          <w:ilvl w:val="0"/>
          <w:numId w:val="2"/>
        </w:numPr>
        <w:spacing w:after="120" w:before="0"/>
      </w:pPr>
      <w:r>
        <w:rPr>
          <w:rFonts w:ascii="Calibri" w:cs="Calibri" w:eastAsia="Calibri" w:hAnsi="Calibri"/>
          <w:b/>
          <w:bCs/>
          <w:sz w:val="22"/>
          <w:szCs w:val="22"/>
        </w:rPr>
        <w:t xml:space="preserve">Document B — lecture puis rappel (1 min 30 + 1 min 30, écran 3) : </w:t>
      </w:r>
      <w:r>
        <w:rPr>
          <w:rFonts w:ascii="Calibri" w:cs="Calibri" w:eastAsia="Calibri" w:hAnsi="Calibri"/>
          <w:sz w:val="22"/>
          <w:szCs w:val="22"/>
        </w:rPr>
        <w:t xml:space="preserve">« Lisez le document B pendant 1 minute 30, une ou deux fois. » Chrono 1:30. Au signal : « Tournez la page : le texte B est maintenant caché. Dans la zone de rappel, écrivez de mémoire tout ce dont vous vous souvenez du document B — 1 minute 30. » Chrono 1:30. Personne ne revient en arrière.</w:t>
      </w:r>
    </w:p>
    <w:p>
      <w:pPr>
        <w:pStyle w:val="ListParagraph"/>
        <w:numPr>
          <w:ilvl w:val="0"/>
          <w:numId w:val="2"/>
        </w:numPr>
        <w:spacing w:after="120" w:before="0"/>
      </w:pPr>
      <w:r>
        <w:rPr>
          <w:rFonts w:ascii="Calibri" w:cs="Calibri" w:eastAsia="Calibri" w:hAnsi="Calibri"/>
          <w:b/>
          <w:bCs/>
          <w:sz w:val="22"/>
          <w:szCs w:val="22"/>
        </w:rPr>
        <w:t xml:space="preserve">Pause et annonce (écran 4) : </w:t>
      </w:r>
      <w:r>
        <w:rPr>
          <w:rFonts w:ascii="Calibri" w:cs="Calibri" w:eastAsia="Calibri" w:hAnsi="Calibri"/>
          <w:sz w:val="22"/>
          <w:szCs w:val="22"/>
        </w:rPr>
        <w:t xml:space="preserve">« Chaque document a eu exactement 3 minutes. Un test aura lieu plus tard dans l’heure. Rangez la feuille, on n’y touche plus. »</w:t>
      </w:r>
    </w:p>
    <w:p>
      <w:pPr>
        <w:pBdr>
          <w:top w:val="single" w:color="999999" w:sz="6" w:space="6"/>
          <w:bottom w:val="single" w:color="999999" w:sz="6" w:space="6"/>
          <w:left w:val="single" w:color="999999" w:sz="6" w:space="8"/>
          <w:right w:val="single" w:color="999999" w:sz="6" w:space="8"/>
        </w:pBdr>
        <w:shd w:fill="F2F2F2" w:val="clear"/>
        <w:spacing w:after="0" w:before="0"/>
      </w:pPr>
      <w:r>
        <w:rPr>
          <w:rFonts w:ascii="Calibri" w:cs="Calibri" w:eastAsia="Calibri" w:hAnsi="Calibri"/>
          <w:b/>
          <w:bCs/>
          <w:sz w:val="21"/>
          <w:szCs w:val="21"/>
        </w:rPr>
        <w:t xml:space="preserve">Pourquoi ce découpage ? </w:t>
      </w:r>
      <w:r>
        <w:rPr>
          <w:rFonts w:ascii="Calibri" w:cs="Calibri" w:eastAsia="Calibri" w:hAnsi="Calibri"/>
          <w:sz w:val="21"/>
          <w:szCs w:val="21"/>
        </w:rPr>
        <w:t xml:space="preserve">les deux documents reçoivent le même temps total (3 min). Seule la méthode change : relecture passive pour A, rappel actif pour B. L’écart au test différé ne pourra venir que de la méthode.</w:t>
      </w:r>
    </w:p>
    <w:p>
      <w:pPr>
        <w:pStyle w:val="Heading2"/>
        <w:keepNext/>
        <w:spacing w:after="100" w:before="200"/>
      </w:pPr>
      <w:r>
        <w:rPr>
          <w:rFonts w:ascii="Calibri" w:cs="Calibri" w:eastAsia="Calibri" w:hAnsi="Calibri"/>
          <w:b/>
          <w:bCs/>
          <w:color w:val="2E5395"/>
          <w:sz w:val="24"/>
          <w:szCs w:val="24"/>
        </w:rPr>
        <w:t xml:space="preserve">Phase 2 — Atelier questions sur son chapitre d’EDS (10–25 min, individuel, écrans 5–6)</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Sortez le cours de spécialité que vous avez apporté. Vous allez fabriquer 8 à 10 questions sur ce chapitre, sur la fiche atelier : la question à gauche, la réponse en mots-clés à droite — colonne que vous cacherez pendant l’interrogation. Trois de ces questions au moins doivent être des questions d’application — « à quoi ça sert », « dans quel exercice », « pourquoi » —, pas seulement des définitions. En spécialité, c’est l’application qui est évaluée.</w:t>
      </w:r>
      <w:r>
        <w:rPr>
          <w:rFonts w:ascii="Calibri" w:cs="Calibri" w:eastAsia="Calibri" w:hAnsi="Calibri"/>
          <w:b/>
          <w:bCs/>
          <w:color w:val="2E5395"/>
          <w:sz w:val="22"/>
          <w:szCs w:val="22"/>
        </w:rPr>
        <w:t xml:space="preserve">  »</w:t>
      </w:r>
    </w:p>
    <w:p>
      <w:pPr>
        <w:spacing w:after="120" w:before="0"/>
      </w:pPr>
      <w:r>
        <w:rPr>
          <w:rFonts w:ascii="Calibri" w:cs="Calibri" w:eastAsia="Calibri" w:hAnsi="Calibri"/>
          <w:b/>
          <w:bCs/>
          <w:sz w:val="22"/>
          <w:szCs w:val="22"/>
        </w:rPr>
        <w:t xml:space="preserve">Les critères d’une bonne question (écran 5) : </w:t>
      </w:r>
      <w:r>
        <w:rPr>
          <w:rFonts w:ascii="Calibri" w:cs="Calibri" w:eastAsia="Calibri" w:hAnsi="Calibri"/>
          <w:sz w:val="22"/>
          <w:szCs w:val="22"/>
        </w:rPr>
        <w:t xml:space="preserve">réponse courte et vérifiable dans le cours ; au moins 3 questions d’application ; types mélangés (définition, mécanisme, application). Montrez l’exemple d’une question faible transformée en question forte :</w:t>
      </w:r>
    </w:p>
    <w:p>
      <w:pPr>
        <w:pStyle w:val="ListParagraph"/>
        <w:numPr>
          <w:ilvl w:val="0"/>
          <w:numId w:val="2"/>
        </w:numPr>
        <w:spacing w:after="120" w:before="0"/>
      </w:pPr>
      <w:r>
        <w:rPr>
          <w:rFonts w:ascii="Calibri" w:cs="Calibri" w:eastAsia="Calibri" w:hAnsi="Calibri"/>
          <w:b/>
          <w:bCs/>
          <w:sz w:val="22"/>
          <w:szCs w:val="22"/>
        </w:rPr>
        <w:t xml:space="preserve">Faible → forte : </w:t>
      </w:r>
      <w:r>
        <w:rPr>
          <w:rFonts w:ascii="Calibri" w:cs="Calibri" w:eastAsia="Calibri" w:hAnsi="Calibri"/>
          <w:sz w:val="22"/>
          <w:szCs w:val="22"/>
        </w:rPr>
        <w:t xml:space="preserve">« Qu’est-ce que la dérivation ? » → « Comment reconnaître, sur un graphique, l’endroit où la dérivée s’annule, et qu’est-ce que cela signifie ? » (variante SHS : « Qu’est-ce que la DDHC ? » → « En quoi la DDHC rompt-elle avec la monarchie absolue ? »)</w:t>
      </w:r>
    </w:p>
    <w:p>
      <w:pPr>
        <w:spacing w:after="120" w:before="0"/>
      </w:pPr>
      <w:r>
        <w:rPr>
          <w:rFonts w:ascii="Calibri" w:cs="Calibri" w:eastAsia="Calibri" w:hAnsi="Calibri"/>
          <w:b/>
          <w:bCs/>
          <w:sz w:val="22"/>
          <w:szCs w:val="22"/>
        </w:rPr>
        <w:t xml:space="preserve">Votre rôle en circulation (écran 6, chrono 12 min — les consignes et l’exemple prennent les 3 premières minutes de la phase) : </w:t>
      </w:r>
      <w:r>
        <w:rPr>
          <w:rFonts w:ascii="Calibri" w:cs="Calibri" w:eastAsia="Calibri" w:hAnsi="Calibri"/>
          <w:sz w:val="22"/>
          <w:szCs w:val="22"/>
        </w:rPr>
        <w:t xml:space="preserve">la grille de critères est sur le support 2. Deux interventions types :</w:t>
      </w:r>
    </w:p>
    <w:p>
      <w:pPr>
        <w:pStyle w:val="ListParagraph"/>
        <w:numPr>
          <w:ilvl w:val="0"/>
          <w:numId w:val="2"/>
        </w:numPr>
        <w:spacing w:after="120" w:before="0"/>
      </w:pPr>
      <w:r>
        <w:rPr>
          <w:rFonts w:ascii="Calibri" w:cs="Calibri" w:eastAsia="Calibri" w:hAnsi="Calibri"/>
          <w:b/>
          <w:bCs/>
          <w:sz w:val="22"/>
          <w:szCs w:val="22"/>
        </w:rPr>
        <w:t xml:space="preserve">Questions de pure définition : </w:t>
      </w:r>
      <w:r>
        <w:rPr>
          <w:rFonts w:ascii="Calibri" w:cs="Calibri" w:eastAsia="Calibri" w:hAnsi="Calibri"/>
          <w:sz w:val="22"/>
          <w:szCs w:val="22"/>
        </w:rPr>
        <w:t xml:space="preserve">« Transforme-en une en “pourquoi” ou en mini-exercice : c’est ce qu’on te demandera en DS. »</w:t>
      </w:r>
    </w:p>
    <w:p>
      <w:pPr>
        <w:pStyle w:val="ListParagraph"/>
        <w:numPr>
          <w:ilvl w:val="0"/>
          <w:numId w:val="2"/>
        </w:numPr>
        <w:spacing w:after="120" w:before="0"/>
      </w:pPr>
      <w:r>
        <w:rPr>
          <w:rFonts w:ascii="Calibri" w:cs="Calibri" w:eastAsia="Calibri" w:hAnsi="Calibri"/>
          <w:b/>
          <w:bCs/>
          <w:sz w:val="22"/>
          <w:szCs w:val="22"/>
        </w:rPr>
        <w:t xml:space="preserve">Élève bloqué : </w:t>
      </w:r>
      <w:r>
        <w:rPr>
          <w:rFonts w:ascii="Calibri" w:cs="Calibri" w:eastAsia="Calibri" w:hAnsi="Calibri"/>
          <w:sz w:val="22"/>
          <w:szCs w:val="22"/>
        </w:rPr>
        <w:t xml:space="preserve">donnez une amorce de la banque (support 2). Une réponse « à vérifier » est le signe d’une bonne question : l’élève ira la chercher.</w:t>
      </w:r>
    </w:p>
    <w:p>
      <w:pPr>
        <w:pStyle w:val="Heading2"/>
        <w:keepNext/>
        <w:spacing w:after="100" w:before="200"/>
      </w:pPr>
      <w:r>
        <w:rPr>
          <w:rFonts w:ascii="Calibri" w:cs="Calibri" w:eastAsia="Calibri" w:hAnsi="Calibri"/>
          <w:b/>
          <w:bCs/>
          <w:color w:val="2E5395"/>
          <w:sz w:val="24"/>
          <w:szCs w:val="24"/>
        </w:rPr>
        <w:t xml:space="preserve">Phase 3 — Interrogation croisée en binôme (25–33 min, binôme, écran 7)</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Mettez-vous par deux. Chacun interroge l’autre avec ses propres questions, cahier fermé : 3 minutes chacun, puis on inverse. Dans la marge, celui qui répond cote chaque réponse : S pour su, P pour partiel, N pour non su. Les « P » et les « N » sont vos questions prioritaires pour les sept jours qui viennent.</w:t>
      </w:r>
      <w:r>
        <w:rPr>
          <w:rFonts w:ascii="Calibri" w:cs="Calibri" w:eastAsia="Calibri" w:hAnsi="Calibri"/>
          <w:b/>
          <w:bCs/>
          <w:color w:val="2E5395"/>
          <w:sz w:val="22"/>
          <w:szCs w:val="22"/>
        </w:rPr>
        <w:t xml:space="preserve">  »</w:t>
      </w:r>
    </w:p>
    <w:p>
      <w:pPr>
        <w:spacing w:after="120" w:before="0"/>
      </w:pPr>
      <w:r>
        <w:rPr>
          <w:rFonts w:ascii="Calibri" w:cs="Calibri" w:eastAsia="Calibri" w:hAnsi="Calibri"/>
          <w:b/>
          <w:bCs/>
          <w:sz w:val="22"/>
          <w:szCs w:val="22"/>
        </w:rPr>
        <w:t xml:space="preserve">Votre rôle : </w:t>
      </w:r>
      <w:r>
        <w:rPr>
          <w:rFonts w:ascii="Calibri" w:cs="Calibri" w:eastAsia="Calibri" w:hAnsi="Calibri"/>
          <w:sz w:val="22"/>
          <w:szCs w:val="22"/>
        </w:rPr>
        <w:t xml:space="preserve">veillez au cahier fermé — c’est la condition qui fait travailler la mémoire. Circulez, rappelez le sens de la cotation. Formez les binômes librement : en 2026-2027 toute la classe découvre le geste, il n’y a pas d’« anciens » à répartir.</w:t>
      </w:r>
    </w:p>
    <w:p>
      <w:pPr>
        <w:pStyle w:val="Heading2"/>
        <w:keepNext/>
        <w:spacing w:after="100" w:before="200"/>
      </w:pPr>
      <w:r>
        <w:rPr>
          <w:rFonts w:ascii="Calibri" w:cs="Calibri" w:eastAsia="Calibri" w:hAnsi="Calibri"/>
          <w:b/>
          <w:bCs/>
          <w:color w:val="2E5395"/>
          <w:sz w:val="24"/>
          <w:szCs w:val="24"/>
        </w:rPr>
        <w:t xml:space="preserve">Phase 4 — Test différé et nommage (33–40 min, individuel puis classe, écrans 8–10)</w:t>
      </w:r>
    </w:p>
    <w:p>
      <w:pPr>
        <w:spacing w:after="120" w:before="0"/>
      </w:pPr>
      <w:r>
        <w:rPr>
          <w:rFonts w:ascii="Calibri" w:cs="Calibri" w:eastAsia="Calibri" w:hAnsi="Calibri"/>
          <w:b/>
          <w:bCs/>
          <w:sz w:val="22"/>
          <w:szCs w:val="22"/>
        </w:rPr>
        <w:t xml:space="preserve">C’est le moment clé de la séance : </w:t>
      </w:r>
      <w:r>
        <w:rPr>
          <w:rFonts w:ascii="Calibri" w:cs="Calibri" w:eastAsia="Calibri" w:hAnsi="Calibri"/>
          <w:sz w:val="22"/>
          <w:szCs w:val="22"/>
        </w:rPr>
        <w:t xml:space="preserve">le test différé est l’expérience qui crée la conviction. Il est incompressible (voir plan B). Ne l’annoncez toujours pas comme une démonstration.</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Reprenez la feuille d’expérience, directement page 3, sans regarder les pages 1 et 2. Répondez aux 8 questions du test — 4 sur le document A, 4 sur le document B — de mémoire, seul, en silence. 3 minutes.</w:t>
      </w:r>
      <w:r>
        <w:rPr>
          <w:rFonts w:ascii="Calibri" w:cs="Calibri" w:eastAsia="Calibri" w:hAnsi="Calibri"/>
          <w:b/>
          <w:bCs/>
          <w:color w:val="2E5395"/>
          <w:sz w:val="22"/>
          <w:szCs w:val="22"/>
        </w:rPr>
        <w:t xml:space="preserve">  »</w:t>
      </w:r>
    </w:p>
    <w:p>
      <w:pPr>
        <w:spacing w:after="120" w:before="0"/>
      </w:pPr>
      <w:r>
        <w:rPr>
          <w:rFonts w:ascii="Calibri" w:cs="Calibri" w:eastAsia="Calibri" w:hAnsi="Calibri"/>
          <w:b/>
          <w:bCs/>
          <w:sz w:val="22"/>
          <w:szCs w:val="22"/>
        </w:rPr>
        <w:t xml:space="preserve">Correction et scores (écran 9, 2 min) : </w:t>
      </w:r>
      <w:r>
        <w:rPr>
          <w:rFonts w:ascii="Calibri" w:cs="Calibri" w:eastAsia="Calibri" w:hAnsi="Calibri"/>
          <w:sz w:val="22"/>
          <w:szCs w:val="22"/>
        </w:rPr>
        <w:t xml:space="preserve">projetez le corrigé. « 1 point par réponse correcte. Comptez votre score sur A, puis sur B. » Collectez à main levée : « Qui a 3 ou 4 sur A ? … sur B ? » Notez les deux totaux au tableau.</w:t>
      </w:r>
    </w:p>
    <w:p>
      <w:pPr>
        <w:spacing w:after="120" w:before="0"/>
      </w:pPr>
      <w:r>
        <w:rPr>
          <w:rFonts w:ascii="Calibri" w:cs="Calibri" w:eastAsia="Calibri" w:hAnsi="Calibri"/>
          <w:b/>
          <w:bCs/>
          <w:sz w:val="22"/>
          <w:szCs w:val="22"/>
        </w:rPr>
        <w:t xml:space="preserve">Nommage (écran 10, 2 min maximum) : </w:t>
      </w:r>
      <w:r>
        <w:rPr>
          <w:rFonts w:ascii="Calibri" w:cs="Calibri" w:eastAsia="Calibri" w:hAnsi="Calibri"/>
          <w:sz w:val="22"/>
          <w:szCs w:val="22"/>
        </w:rPr>
        <w:t xml:space="preserve">(1) à temps égal, chercher dans sa mémoire (se tester) fait mieux retenir que relire — c’est le testing effect, un des résultats les plus répliqués de la recherche (Roediger &amp; Karpicke, 2006) ; (2) relire semble facile parce que le texte devient familier : cette familiarité est une illusion de fluence (Bjork, Dunlosky &amp; Kornell, 2013). Le confort de la relecture est précisément ce qui la rend trompeuse.</w:t>
      </w:r>
    </w:p>
    <w:p>
      <w:pPr>
        <w:pBdr>
          <w:top w:val="single" w:color="999999" w:sz="6" w:space="6"/>
          <w:bottom w:val="single" w:color="999999" w:sz="6" w:space="6"/>
          <w:left w:val="single" w:color="999999" w:sz="6" w:space="8"/>
          <w:right w:val="single" w:color="999999" w:sz="6" w:space="8"/>
        </w:pBdr>
        <w:shd w:fill="F2F2F2" w:val="clear"/>
        <w:spacing w:after="0" w:before="0"/>
      </w:pPr>
      <w:r>
        <w:rPr>
          <w:rFonts w:ascii="Calibri" w:cs="Calibri" w:eastAsia="Calibri" w:hAnsi="Calibri"/>
          <w:b/>
          <w:bCs/>
          <w:sz w:val="21"/>
          <w:szCs w:val="21"/>
        </w:rPr>
        <w:t xml:space="preserve">Si, dans votre classe, A fait jeu égal ou mieux que B : </w:t>
      </w:r>
      <w:r>
        <w:rPr>
          <w:rFonts w:ascii="Calibri" w:cs="Calibri" w:eastAsia="Calibri" w:hAnsi="Calibri"/>
          <w:sz w:val="21"/>
          <w:szCs w:val="21"/>
        </w:rPr>
        <w:t xml:space="preserve">cela arrive sur une expérience unique et courte — dites-le honnêtement. La recherche a répété cette expérience des centaines de fois, avec des tests à plusieurs jours : l’écart en faveur du test s’y creuse, car la relecture s’évapore vite. Ici le test n’est qu’à 25 minutes. Appuyez-vous alors sur le vécu du binôme : « qu’avez-vous découvert, cahier fermé, que la relecture ne vous aurait pas montré ? »</w:t>
      </w:r>
    </w:p>
    <w:p>
      <w:pPr>
        <w:pStyle w:val="Heading2"/>
        <w:keepNext/>
        <w:spacing w:after="100" w:before="200"/>
      </w:pPr>
      <w:r>
        <w:rPr>
          <w:rFonts w:ascii="Calibri" w:cs="Calibri" w:eastAsia="Calibri" w:hAnsi="Calibri"/>
          <w:b/>
          <w:bCs/>
          <w:color w:val="2E5395"/>
          <w:sz w:val="24"/>
          <w:szCs w:val="24"/>
        </w:rPr>
        <w:t xml:space="preserve">Phase 5 — Conversion express de la fiche (40–50 min, individuel, écrans 11–12)</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Règle d’or, à retenir pour toute l’année : une fiche ne raconte pas, une fiche pose des questions. Prenez une demi-page de votre fiche-résumé. Transformez-la en fiche de récupération : au moins 5 questions au recto, les réponses courtes au verso. Un schéma légendé devient un schéma à trous. Ceux qui n’ont pas de fiche la créent directement à ce format depuis le cours : c’est même plus rapide.</w:t>
      </w:r>
      <w:r>
        <w:rPr>
          <w:rFonts w:ascii="Calibri" w:cs="Calibri" w:eastAsia="Calibri" w:hAnsi="Calibri"/>
          <w:b/>
          <w:bCs/>
          <w:color w:val="2E5395"/>
          <w:sz w:val="22"/>
          <w:szCs w:val="22"/>
        </w:rPr>
        <w:t xml:space="preserve">  »</w:t>
      </w:r>
    </w:p>
    <w:p>
      <w:pPr>
        <w:spacing w:after="120" w:before="0"/>
      </w:pPr>
      <w:r>
        <w:rPr>
          <w:rFonts w:ascii="Calibri" w:cs="Calibri" w:eastAsia="Calibri" w:hAnsi="Calibri"/>
          <w:b/>
          <w:bCs/>
          <w:sz w:val="22"/>
          <w:szCs w:val="22"/>
        </w:rPr>
        <w:t xml:space="preserve">Le modèle est à l’écran (écran 12) </w:t>
      </w:r>
      <w:r>
        <w:rPr>
          <w:rFonts w:ascii="Calibri" w:cs="Calibri" w:eastAsia="Calibri" w:hAnsi="Calibri"/>
          <w:sz w:val="22"/>
          <w:szCs w:val="22"/>
        </w:rPr>
        <w:t xml:space="preserve">et sur le support 3, dans les deux variantes disciplinaires (scientifique / littéraire-SHS). Chrono 8 min — la consigne et la règle d’or prennent les 2 premières minutes de la phase.</w:t>
      </w:r>
    </w:p>
    <w:p>
      <w:pPr>
        <w:spacing w:after="120" w:before="0"/>
      </w:pPr>
      <w:r>
        <w:rPr>
          <w:rFonts w:ascii="Calibri" w:cs="Calibri" w:eastAsia="Calibri" w:hAnsi="Calibri"/>
          <w:b/>
          <w:bCs/>
          <w:sz w:val="22"/>
          <w:szCs w:val="22"/>
        </w:rPr>
        <w:t xml:space="preserve">Votre rôle en circulation — deux interventions types : </w:t>
      </w:r>
    </w:p>
    <w:p>
      <w:pPr>
        <w:pStyle w:val="ListParagraph"/>
        <w:numPr>
          <w:ilvl w:val="0"/>
          <w:numId w:val="2"/>
        </w:numPr>
        <w:spacing w:after="120" w:before="0"/>
      </w:pPr>
      <w:r>
        <w:rPr>
          <w:rFonts w:ascii="Calibri" w:cs="Calibri" w:eastAsia="Calibri" w:hAnsi="Calibri"/>
          <w:b/>
          <w:bCs/>
          <w:sz w:val="22"/>
          <w:szCs w:val="22"/>
        </w:rPr>
        <w:t xml:space="preserve">Fiche qui « raconte » (paragraphes recopiés) : </w:t>
      </w:r>
      <w:r>
        <w:rPr>
          <w:rFonts w:ascii="Calibri" w:cs="Calibri" w:eastAsia="Calibri" w:hAnsi="Calibri"/>
          <w:sz w:val="22"/>
          <w:szCs w:val="22"/>
        </w:rPr>
        <w:t xml:space="preserve">« Cache le verso : peux-tu t’interroger avec le recto seul ? Non ? Alors ce n’est pas encore une fiche de récupération. »</w:t>
      </w:r>
    </w:p>
    <w:p>
      <w:pPr>
        <w:pStyle w:val="ListParagraph"/>
        <w:numPr>
          <w:ilvl w:val="0"/>
          <w:numId w:val="2"/>
        </w:numPr>
        <w:spacing w:after="120" w:before="0"/>
      </w:pPr>
      <w:r>
        <w:rPr>
          <w:rFonts w:ascii="Calibri" w:cs="Calibri" w:eastAsia="Calibri" w:hAnsi="Calibri"/>
          <w:b/>
          <w:bCs/>
          <w:sz w:val="22"/>
          <w:szCs w:val="22"/>
        </w:rPr>
        <w:t xml:space="preserve">Recopie décorée (couleurs, surlignage, zéro question) : </w:t>
      </w:r>
      <w:r>
        <w:rPr>
          <w:rFonts w:ascii="Calibri" w:cs="Calibri" w:eastAsia="Calibri" w:hAnsi="Calibri"/>
          <w:sz w:val="22"/>
          <w:szCs w:val="22"/>
        </w:rPr>
        <w:t xml:space="preserve">« La couleur est permise — après les questions. La mise en page n’interroge personne. »</w:t>
      </w:r>
    </w:p>
    <w:p>
      <w:pPr>
        <w:pStyle w:val="Heading2"/>
        <w:keepNext/>
        <w:spacing w:after="100" w:before="200"/>
      </w:pPr>
      <w:r>
        <w:rPr>
          <w:rFonts w:ascii="Calibri" w:cs="Calibri" w:eastAsia="Calibri" w:hAnsi="Calibri"/>
          <w:b/>
          <w:bCs/>
          <w:color w:val="2E5395"/>
          <w:sz w:val="24"/>
          <w:szCs w:val="24"/>
        </w:rPr>
        <w:t xml:space="preserve">Phase 6 — Trace écrite et engagement (50–55 min, individuel, écran 13)</w:t>
      </w:r>
    </w:p>
    <w:p>
      <w:pPr>
        <w:spacing w:after="120" w:before="0"/>
      </w:pPr>
      <w:r>
        <w:rPr>
          <w:rFonts w:ascii="Calibri" w:cs="Calibri" w:eastAsia="Calibri" w:hAnsi="Calibri"/>
          <w:b/>
          <w:bCs/>
          <w:sz w:val="22"/>
          <w:szCs w:val="22"/>
        </w:rPr>
        <w:t xml:space="preserve">Première séance de l’année : </w:t>
      </w:r>
      <w:r>
        <w:rPr>
          <w:rFonts w:ascii="Calibri" w:cs="Calibri" w:eastAsia="Calibri" w:hAnsi="Calibri"/>
          <w:sz w:val="22"/>
          <w:szCs w:val="22"/>
        </w:rPr>
        <w:t xml:space="preserve">les carnets de méthodes sont distribués et initialisés ici (nom, classe — 1 minute, gabarit du kit transversal). Annoncez leur statut : « ce carnet vous suit jusqu’à la Terminale ; chaque séance de méthodes y laisse une trace ».</w:t>
      </w:r>
    </w:p>
    <w:p>
      <w:pPr>
        <w:pBdr>
          <w:left w:val="single" w:color="2E5395" w:sz="18" w:space="8"/>
        </w:pBdr>
        <w:shd w:fill="DEEAF6"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Trace écrite au carnet de méthodes, page du pilier Engagement actif. Recopiez le cycle en 4 temps : je lis, je ferme, je me récite, je vérifie. Notez vos deux scores. La règle d’or : une fiche pose des questions. L’engagement des 7 jours : chaque soir, 5 minutes d’auto-interrogation sur un cours du jour, cahier fermé ; et convertir une fiche complète dans la semaine. Vous cochez la grille chaque jour.</w:t>
      </w:r>
      <w:r>
        <w:rPr>
          <w:rFonts w:ascii="Calibri" w:cs="Calibri" w:eastAsia="Calibri" w:hAnsi="Calibri"/>
          <w:b/>
          <w:bCs/>
          <w:color w:val="2E5395"/>
          <w:sz w:val="22"/>
          <w:szCs w:val="22"/>
        </w:rPr>
        <w:t xml:space="preserve">  »</w:t>
      </w:r>
    </w:p>
    <w:p>
      <w:pPr>
        <w:pBdr>
          <w:top w:val="single" w:color="999999" w:sz="6" w:space="6"/>
          <w:left w:val="single" w:color="999999" w:sz="6" w:space="8"/>
          <w:right w:val="single" w:color="999999" w:sz="6" w:space="8"/>
        </w:pBdr>
        <w:shd w:fill="F2F2F2" w:val="clear"/>
        <w:spacing w:after="80" w:before="0"/>
      </w:pPr>
      <w:r>
        <w:rPr>
          <w:rFonts w:ascii="Calibri" w:cs="Calibri" w:eastAsia="Calibri" w:hAnsi="Calibri"/>
          <w:b/>
          <w:bCs/>
          <w:sz w:val="21"/>
          <w:szCs w:val="21"/>
        </w:rPr>
        <w:t xml:space="preserve">Rituel « météo du transfert » (à la prochaine vie de classe, 3 à 5 min) : </w:t>
      </w:r>
      <w:r>
        <w:rPr>
          <w:rFonts w:ascii="Calibri" w:cs="Calibri" w:eastAsia="Calibri" w:hAnsi="Calibri"/>
          <w:sz w:val="21"/>
          <w:szCs w:val="21"/>
        </w:rPr>
        <w:t xml:space="preserve">(1) main levée : « Qui a tenu l’engagement au moins 5 jours sur 7 ? » — comptage rapide, sans stigmatisation ; (2) deux témoignages volontaires : un obstacle rencontré, une astuce qui a fonctionné ; (3) relance : reformulation de l’engagement pour la semaine suivante, les élèves cochent dans le carnet de méthodes.</w:t>
      </w:r>
    </w:p>
    <w:p>
      <w:pPr>
        <w:pBdr>
          <w:bottom w:val="single" w:color="999999" w:sz="6" w:space="6"/>
          <w:left w:val="single" w:color="999999" w:sz="6" w:space="8"/>
          <w:right w:val="single" w:color="999999" w:sz="6" w:space="8"/>
        </w:pBdr>
        <w:shd w:fill="F2F2F2" w:val="clear"/>
        <w:spacing w:after="0" w:before="0"/>
      </w:pPr>
      <w:r>
        <w:rPr>
          <w:rFonts w:ascii="Calibri" w:cs="Calibri" w:eastAsia="Calibri" w:hAnsi="Calibri"/>
          <w:b/>
          <w:bCs/>
          <w:sz w:val="21"/>
          <w:szCs w:val="21"/>
        </w:rPr>
        <w:t xml:space="preserve">Suivi complémentaire propre à S1a : </w:t>
      </w:r>
      <w:r>
        <w:rPr>
          <w:rFonts w:ascii="Calibri" w:cs="Calibri" w:eastAsia="Calibri" w:hAnsi="Calibri"/>
          <w:sz w:val="21"/>
          <w:szCs w:val="21"/>
        </w:rPr>
        <w:t xml:space="preserve">regard bienveillant sur 3 fiches converties prises au hasard (les questions remplacent-elles le récit ?). On regarde l’outil, pas l’élève : aucun commentaire de niveau.</w:t>
      </w:r>
    </w:p>
    <w:p>
      <w:r>
        <w:br w:type="page"/>
      </w:r>
    </w:p>
    <w:p>
      <w:pPr>
        <w:pStyle w:val="Heading1"/>
        <w:keepNext/>
        <w:spacing w:after="140" w:before="260"/>
      </w:pPr>
      <w:r>
        <w:rPr>
          <w:rFonts w:ascii="Calibri" w:cs="Calibri" w:eastAsia="Calibri" w:hAnsi="Calibri"/>
          <w:b/>
          <w:bCs/>
          <w:color w:val="1F3864"/>
          <w:sz w:val="28"/>
          <w:szCs w:val="28"/>
        </w:rPr>
        <w:t xml:space="preserve">3. Réponses aux objections types</w:t>
      </w:r>
    </w:p>
    <w:p>
      <w:pPr>
        <w:spacing w:after="120" w:before="0"/>
      </w:pPr>
      <w:r>
        <w:rPr>
          <w:rFonts w:ascii="Calibri" w:cs="Calibri" w:eastAsia="Calibri" w:hAnsi="Calibri"/>
          <w:i/>
          <w:iCs/>
          <w:sz w:val="20"/>
          <w:szCs w:val="20"/>
        </w:rPr>
        <w:t xml:space="preserve">Chaque réponse s’appuie sur ce que les élèves viennent de vivre, pas sur l’autorité de l’adulte.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800"/>
      </w:tblGrid>
      <w:tr>
        <w:trPr>
          <w:tblHeader/>
        </w:trPr>
        <w:tc>
          <w:tcPr>
            <w:tcW w:type="dxa" w:w="350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Objection de l’élève</w:t>
            </w:r>
          </w:p>
        </w:tc>
        <w:tc>
          <w:tcPr>
            <w:tcW w:type="dxa" w:w="580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Réponse (une phrase, adossée au vécu)</w:t>
            </w:r>
          </w:p>
        </w:tc>
      </w:tr>
      <w:tr>
        <w:tc>
          <w:tcPr>
            <w:tcW w:type="dxa" w:w="35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 Relire, ça marche pour moi. »</w:t>
            </w:r>
          </w:p>
        </w:tc>
        <w:tc>
          <w:tcPr>
            <w:tcW w:type="dxa" w:w="5800"/>
            <w:tcMar>
              <w:top w:type="dxa" w:w="60"/>
              <w:left w:type="dxa" w:w="90"/>
              <w:bottom w:type="dxa" w:w="60"/>
              <w:right w:type="dxa" w:w="90"/>
            </w:tcMar>
            <w:vAlign w:val="center"/>
          </w:tcPr>
          <w:p>
            <w:pPr>
              <w:spacing w:after="0"/>
            </w:pPr>
            <w:r>
              <w:rPr>
                <w:rFonts w:ascii="Calibri" w:cs="Calibri" w:eastAsia="Calibri" w:hAnsi="Calibri"/>
                <w:sz w:val="20"/>
                <w:szCs w:val="20"/>
              </w:rPr>
              <w:t xml:space="preserve">« Regarde tes deux scores de tout à l’heure. À temps égal, lequel a le mieux tenu ? Relire donne l’impression de savoir ; se tester montre ce qu’on sait vraiment. »</w:t>
            </w:r>
          </w:p>
        </w:tc>
      </w:tr>
      <w:tr>
        <w:tc>
          <w:tcPr>
            <w:tcW w:type="dxa" w:w="35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 Fabriquer les questions, c’est déjà réviser : pourquoi se tester après ? »</w:t>
            </w:r>
          </w:p>
        </w:tc>
        <w:tc>
          <w:tcPr>
            <w:tcW w:type="dxa" w:w="5800"/>
            <w:tcMar>
              <w:top w:type="dxa" w:w="60"/>
              <w:left w:type="dxa" w:w="90"/>
              <w:bottom w:type="dxa" w:w="60"/>
              <w:right w:type="dxa" w:w="90"/>
            </w:tcMar>
            <w:vAlign w:val="center"/>
          </w:tcPr>
          <w:p>
            <w:pPr>
              <w:spacing w:after="0"/>
            </w:pPr>
            <w:r>
              <w:rPr>
                <w:rFonts w:ascii="Calibri" w:cs="Calibri" w:eastAsia="Calibri" w:hAnsi="Calibri"/>
                <w:sz w:val="20"/>
                <w:szCs w:val="20"/>
              </w:rPr>
              <w:t xml:space="preserve">« Fabriquer la question, c’est utile, mais c’est encore le cours ouvert. Ce qui grave, c’est de chercher la réponse cahier fermé. Les deux temps sont différents. »</w:t>
            </w:r>
          </w:p>
        </w:tc>
      </w:tr>
      <w:tr>
        <w:tc>
          <w:tcPr>
            <w:tcW w:type="dxa" w:w="35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 Je n’ai pas le temps, avec les spécialités. »</w:t>
            </w:r>
          </w:p>
        </w:tc>
        <w:tc>
          <w:tcPr>
            <w:tcW w:type="dxa" w:w="5800"/>
            <w:tcMar>
              <w:top w:type="dxa" w:w="60"/>
              <w:left w:type="dxa" w:w="90"/>
              <w:bottom w:type="dxa" w:w="60"/>
              <w:right w:type="dxa" w:w="90"/>
            </w:tcMar>
            <w:vAlign w:val="center"/>
          </w:tcPr>
          <w:p>
            <w:pPr>
              <w:spacing w:after="0"/>
            </w:pPr>
            <w:r>
              <w:rPr>
                <w:rFonts w:ascii="Calibri" w:cs="Calibri" w:eastAsia="Calibri" w:hAnsi="Calibri"/>
                <w:sz w:val="20"/>
                <w:szCs w:val="20"/>
              </w:rPr>
              <w:t xml:space="preserve">« Justement : 5 minutes à se tester valent mieux que 20 à relire. Ce geste ne s’ajoute pas à tes révisions, il les remplace en partie — et il les rend plus rentables. »</w:t>
            </w:r>
          </w:p>
        </w:tc>
      </w:tr>
      <w:tr>
        <w:tc>
          <w:tcPr>
            <w:tcW w:type="dxa" w:w="35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 Ma fiche est déjà bien faite. »</w:t>
            </w:r>
          </w:p>
        </w:tc>
        <w:tc>
          <w:tcPr>
            <w:tcW w:type="dxa" w:w="5800"/>
            <w:tcMar>
              <w:top w:type="dxa" w:w="60"/>
              <w:left w:type="dxa" w:w="90"/>
              <w:bottom w:type="dxa" w:w="60"/>
              <w:right w:type="dxa" w:w="90"/>
            </w:tcMar>
            <w:vAlign w:val="center"/>
          </w:tcPr>
          <w:p>
            <w:pPr>
              <w:spacing w:after="0"/>
            </w:pPr>
            <w:r>
              <w:rPr>
                <w:rFonts w:ascii="Calibri" w:cs="Calibri" w:eastAsia="Calibri" w:hAnsi="Calibri"/>
                <w:sz w:val="20"/>
                <w:szCs w:val="20"/>
              </w:rPr>
              <w:t xml:space="preserve">« Fais le test : cache le verso, peux-tu t’interroger avec le recto seul ? Si ta fiche raconte, elle ne t’interroge pas. Une belle fiche qui raconte reste une relecture déguisée. »</w:t>
            </w:r>
          </w:p>
        </w:tc>
      </w:tr>
      <w:tr>
        <w:tc>
          <w:tcPr>
            <w:tcW w:type="dxa" w:w="35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 En spé, il faut comprendre, pas réciter. »</w:t>
            </w:r>
          </w:p>
        </w:tc>
        <w:tc>
          <w:tcPr>
            <w:tcW w:type="dxa" w:w="5800"/>
            <w:tcMar>
              <w:top w:type="dxa" w:w="60"/>
              <w:left w:type="dxa" w:w="90"/>
              <w:bottom w:type="dxa" w:w="60"/>
              <w:right w:type="dxa" w:w="90"/>
            </w:tcMar>
            <w:vAlign w:val="center"/>
          </w:tcPr>
          <w:p>
            <w:pPr>
              <w:spacing w:after="0"/>
            </w:pPr>
            <w:r>
              <w:rPr>
                <w:rFonts w:ascii="Calibri" w:cs="Calibri" w:eastAsia="Calibri" w:hAnsi="Calibri"/>
                <w:sz w:val="20"/>
                <w:szCs w:val="20"/>
              </w:rPr>
              <w:t xml:space="preserve">« D’accord — c’est pour ça qu’on impose 3 questions d’application. Se tester sur “pourquoi” et “dans quel cas”, ce n’est pas réciter, c’est vérifier qu’on sait s’en servir. »</w:t>
            </w:r>
          </w:p>
        </w:tc>
      </w:tr>
    </w:tbl>
    <w:p>
      <w:pPr>
        <w:pStyle w:val="Heading1"/>
        <w:keepNext/>
        <w:spacing w:after="140" w:before="260"/>
      </w:pPr>
      <w:r>
        <w:rPr>
          <w:rFonts w:ascii="Calibri" w:cs="Calibri" w:eastAsia="Calibri" w:hAnsi="Calibri"/>
          <w:b/>
          <w:bCs/>
          <w:color w:val="1F3864"/>
          <w:sz w:val="28"/>
          <w:szCs w:val="28"/>
        </w:rPr>
        <w:t xml:space="preserve">4. Encart « idées reçues » (à garder sous les yeux)</w:t>
      </w:r>
    </w:p>
    <w:p>
      <w:pPr>
        <w:spacing w:after="120" w:before="0"/>
      </w:pPr>
      <w:r>
        <w:rPr>
          <w:rFonts w:ascii="Calibri" w:cs="Calibri" w:eastAsia="Calibri" w:hAnsi="Calibri"/>
          <w:i/>
          <w:iCs/>
          <w:sz w:val="20"/>
          <w:szCs w:val="20"/>
        </w:rPr>
        <w:t xml:space="preserve">Cet encart est identique dans tous les guides du dispositif. Il arme le professeur principal contre les objections prévisibles. Aucune n’exige un cours de neurosciences : une phrase de recadrage suffit, adossée au vécu de la séance.</w:t>
      </w:r>
    </w:p>
    <w:p>
      <w:pPr>
        <w:pStyle w:val="ListParagraph"/>
        <w:numPr>
          <w:ilvl w:val="0"/>
          <w:numId w:val="2"/>
        </w:numPr>
        <w:spacing w:after="90" w:before="0"/>
      </w:pPr>
      <w:r>
        <w:rPr>
          <w:rFonts w:ascii="Calibri" w:cs="Calibri" w:eastAsia="Calibri" w:hAnsi="Calibri"/>
          <w:b/>
          <w:bCs/>
          <w:sz w:val="21"/>
          <w:szCs w:val="21"/>
        </w:rPr>
        <w:t xml:space="preserve">« J’ai un profil visuel / auditif / kinesthésique. » </w:t>
      </w:r>
      <w:r>
        <w:rPr>
          <w:rFonts w:ascii="Calibri" w:cs="Calibri" w:eastAsia="Calibri" w:hAnsi="Calibri"/>
          <w:sz w:val="21"/>
          <w:szCs w:val="21"/>
        </w:rPr>
        <w:t xml:space="preserve">Les « styles d’apprentissage » sont un neuromythe : aucune étude sérieuse ne montre qu’enseigner selon un « style » améliore les résultats (Pashler et al., 2008). Ce qui compte, c’est d’adapter le format au contenu, pas à un profil.</w:t>
      </w:r>
    </w:p>
    <w:p>
      <w:pPr>
        <w:pStyle w:val="ListParagraph"/>
        <w:numPr>
          <w:ilvl w:val="0"/>
          <w:numId w:val="2"/>
        </w:numPr>
        <w:spacing w:after="90" w:before="0"/>
      </w:pPr>
      <w:r>
        <w:rPr>
          <w:rFonts w:ascii="Calibri" w:cs="Calibri" w:eastAsia="Calibri" w:hAnsi="Calibri"/>
          <w:b/>
          <w:bCs/>
          <w:sz w:val="21"/>
          <w:szCs w:val="21"/>
        </w:rPr>
        <w:t xml:space="preserve">« On n’utilise que 10 % de notre cerveau. » </w:t>
      </w:r>
      <w:r>
        <w:rPr>
          <w:rFonts w:ascii="Calibri" w:cs="Calibri" w:eastAsia="Calibri" w:hAnsi="Calibri"/>
          <w:sz w:val="21"/>
          <w:szCs w:val="21"/>
        </w:rPr>
        <w:t xml:space="preserve">Faux. L’imagerie cérébrale montre une activité dans l’ensemble du cerveau ; il n’existe pas de « 90 % dormants ».</w:t>
      </w:r>
    </w:p>
    <w:p>
      <w:pPr>
        <w:pStyle w:val="ListParagraph"/>
        <w:numPr>
          <w:ilvl w:val="0"/>
          <w:numId w:val="2"/>
        </w:numPr>
        <w:spacing w:after="90" w:before="0"/>
      </w:pPr>
      <w:r>
        <w:rPr>
          <w:rFonts w:ascii="Calibri" w:cs="Calibri" w:eastAsia="Calibri" w:hAnsi="Calibri"/>
          <w:b/>
          <w:bCs/>
          <w:sz w:val="21"/>
          <w:szCs w:val="21"/>
        </w:rPr>
        <w:t xml:space="preserve">« Je suis cerveau droit / cerveau gauche. » </w:t>
      </w:r>
      <w:r>
        <w:rPr>
          <w:rFonts w:ascii="Calibri" w:cs="Calibri" w:eastAsia="Calibri" w:hAnsi="Calibri"/>
          <w:sz w:val="21"/>
          <w:szCs w:val="21"/>
        </w:rPr>
        <w:t xml:space="preserve">Faux comme trait de personnalité. Les deux hémisphères coopèrent en permanence ; personne ne fonctionne avec un seul côté.</w:t>
      </w:r>
    </w:p>
    <w:p>
      <w:pPr>
        <w:pStyle w:val="ListParagraph"/>
        <w:numPr>
          <w:ilvl w:val="0"/>
          <w:numId w:val="2"/>
        </w:numPr>
        <w:spacing w:after="90" w:before="0"/>
      </w:pPr>
      <w:r>
        <w:rPr>
          <w:rFonts w:ascii="Calibri" w:cs="Calibri" w:eastAsia="Calibri" w:hAnsi="Calibri"/>
          <w:b/>
          <w:bCs/>
          <w:sz w:val="21"/>
          <w:szCs w:val="21"/>
        </w:rPr>
        <w:t xml:space="preserve">« Moi, la musique m’aide à travailler. » </w:t>
      </w:r>
      <w:r>
        <w:rPr>
          <w:rFonts w:ascii="Calibri" w:cs="Calibri" w:eastAsia="Calibri" w:hAnsi="Calibri"/>
          <w:sz w:val="21"/>
          <w:szCs w:val="21"/>
        </w:rPr>
        <w:t xml:space="preserve">Ça dépend de la tâche : pour lire, rédiger ou mémoriser (tâches verbales), une musique avec paroles nuit. Un fond sans paroles peut être neutre. À tester sur soi, sans en faire une règle.</w:t>
      </w:r>
    </w:p>
    <w:p>
      <w:pPr>
        <w:pStyle w:val="ListParagraph"/>
        <w:numPr>
          <w:ilvl w:val="0"/>
          <w:numId w:val="2"/>
        </w:numPr>
        <w:spacing w:after="90" w:before="0"/>
      </w:pPr>
      <w:r>
        <w:rPr>
          <w:rFonts w:ascii="Calibri" w:cs="Calibri" w:eastAsia="Calibri" w:hAnsi="Calibri"/>
          <w:b/>
          <w:bCs/>
          <w:sz w:val="21"/>
          <w:szCs w:val="21"/>
        </w:rPr>
        <w:t xml:space="preserve">« Relire plusieurs fois, ça marche pour moi. » </w:t>
      </w:r>
      <w:r>
        <w:rPr>
          <w:rFonts w:ascii="Calibri" w:cs="Calibri" w:eastAsia="Calibri" w:hAnsi="Calibri"/>
          <w:sz w:val="21"/>
          <w:szCs w:val="21"/>
        </w:rPr>
        <w:t xml:space="preserve">C’est l’illusion de fluence : relire rend le texte familier, et cette familiarité se confond avec le fait de savoir. L’expérience vécue en début de séance le montre — renvoyez-y.</w:t>
      </w:r>
    </w:p>
    <w:p>
      <w:r>
        <w:br w:type="page"/>
      </w:r>
    </w:p>
    <w:p>
      <w:pPr>
        <w:pStyle w:val="Heading1"/>
        <w:keepNext/>
        <w:spacing w:after="140" w:before="260"/>
      </w:pPr>
      <w:r>
        <w:rPr>
          <w:rFonts w:ascii="Calibri" w:cs="Calibri" w:eastAsia="Calibri" w:hAnsi="Calibri"/>
          <w:b/>
          <w:bCs/>
          <w:color w:val="1F3864"/>
          <w:sz w:val="28"/>
          <w:szCs w:val="28"/>
        </w:rPr>
        <w:t xml:space="preserve">5. Plan B minuté (si une phase déborde)</w:t>
      </w:r>
    </w:p>
    <w:p>
      <w:pPr>
        <w:spacing w:after="120" w:before="0"/>
      </w:pPr>
      <w:r>
        <w:rPr>
          <w:rFonts w:ascii="Calibri" w:cs="Calibri" w:eastAsia="Calibri" w:hAnsi="Calibri"/>
          <w:b/>
          <w:bCs/>
          <w:color w:val="C00000"/>
          <w:sz w:val="22"/>
          <w:szCs w:val="22"/>
        </w:rPr>
        <w:t xml:space="preserve">Incompressibles (§ 5.1) — on n’y touche jamais : </w:t>
      </w:r>
      <w:r>
        <w:rPr>
          <w:rFonts w:ascii="Calibri" w:cs="Calibri" w:eastAsia="Calibri" w:hAnsi="Calibri"/>
          <w:sz w:val="22"/>
          <w:szCs w:val="22"/>
        </w:rPr>
        <w:t xml:space="preserve">le test différé A/B (c’est lui qui crée la conviction), la trace écrite et l’engagement de transfert. À préserver ensuite en priorité : la conversion, ramenée au besoin à 5 questions strictes — c’est l’apport propre de cette séance socle.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00"/>
      </w:tblGrid>
      <w:tr>
        <w:trPr>
          <w:tblHeader/>
        </w:trPr>
        <w:tc>
          <w:tcPr>
            <w:tcW w:type="dxa" w:w="420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Situation</w:t>
            </w:r>
          </w:p>
        </w:tc>
        <w:tc>
          <w:tcPr>
            <w:tcW w:type="dxa" w:w="510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Ce qu’on fait</w:t>
            </w:r>
          </w:p>
        </w:tc>
      </w:tr>
      <w:tr>
        <w:tc>
          <w:tcPr>
            <w:tcW w:type="dxa" w:w="42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L’atelier questions déborde</w:t>
            </w:r>
          </w:p>
        </w:tc>
        <w:tc>
          <w:tcPr>
            <w:tcW w:type="dxa" w:w="5100"/>
            <w:tcMar>
              <w:top w:type="dxa" w:w="60"/>
              <w:left w:type="dxa" w:w="90"/>
              <w:bottom w:type="dxa" w:w="60"/>
              <w:right w:type="dxa" w:w="90"/>
            </w:tcMar>
            <w:vAlign w:val="center"/>
          </w:tcPr>
          <w:p>
            <w:pPr>
              <w:spacing w:after="0"/>
            </w:pPr>
            <w:r>
              <w:rPr>
                <w:rFonts w:ascii="Calibri" w:cs="Calibri" w:eastAsia="Calibri" w:hAnsi="Calibri"/>
                <w:sz w:val="20"/>
                <w:szCs w:val="20"/>
              </w:rPr>
              <w:t xml:space="preserve">Ramenez la cible à 8 questions au lieu de 10 (dont 3 d’application maintenues). Ne rognez jamais le test différé pour rattraper.</w:t>
            </w:r>
          </w:p>
        </w:tc>
      </w:tr>
      <w:tr>
        <w:tc>
          <w:tcPr>
            <w:tcW w:type="dxa" w:w="42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L’interrogation en binôme déborde</w:t>
            </w:r>
          </w:p>
        </w:tc>
        <w:tc>
          <w:tcPr>
            <w:tcW w:type="dxa" w:w="5100"/>
            <w:tcMar>
              <w:top w:type="dxa" w:w="60"/>
              <w:left w:type="dxa" w:w="90"/>
              <w:bottom w:type="dxa" w:w="60"/>
              <w:right w:type="dxa" w:w="90"/>
            </w:tcMar>
            <w:vAlign w:val="center"/>
          </w:tcPr>
          <w:p>
            <w:pPr>
              <w:spacing w:after="0"/>
            </w:pPr>
            <w:r>
              <w:rPr>
                <w:rFonts w:ascii="Calibri" w:cs="Calibri" w:eastAsia="Calibri" w:hAnsi="Calibri"/>
                <w:sz w:val="20"/>
                <w:szCs w:val="20"/>
              </w:rPr>
              <w:t xml:space="preserve">Passez à un seul sens (3 min), l’élève interrogé tiré au sort. Le geste est vécu, même une fois.</w:t>
            </w:r>
          </w:p>
        </w:tc>
      </w:tr>
      <w:tr>
        <w:tc>
          <w:tcPr>
            <w:tcW w:type="dxa" w:w="42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Le nommage s’éternise</w:t>
            </w:r>
          </w:p>
        </w:tc>
        <w:tc>
          <w:tcPr>
            <w:tcW w:type="dxa" w:w="5100"/>
            <w:tcMar>
              <w:top w:type="dxa" w:w="60"/>
              <w:left w:type="dxa" w:w="90"/>
              <w:bottom w:type="dxa" w:w="60"/>
              <w:right w:type="dxa" w:w="90"/>
            </w:tcMar>
            <w:vAlign w:val="center"/>
          </w:tcPr>
          <w:p>
            <w:pPr>
              <w:spacing w:after="0"/>
            </w:pPr>
            <w:r>
              <w:rPr>
                <w:rFonts w:ascii="Calibri" w:cs="Calibri" w:eastAsia="Calibri" w:hAnsi="Calibri"/>
                <w:sz w:val="20"/>
                <w:szCs w:val="20"/>
              </w:rPr>
              <w:t xml:space="preserve">Deux minutes, pas plus. Deux idées : se tester &gt; relire ; relire = illusion de fluence. Le reste est dans la trace écrite.</w:t>
            </w:r>
          </w:p>
        </w:tc>
      </w:tr>
      <w:tr>
        <w:tc>
          <w:tcPr>
            <w:tcW w:type="dxa" w:w="42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La conversion est trop courte</w:t>
            </w:r>
          </w:p>
        </w:tc>
        <w:tc>
          <w:tcPr>
            <w:tcW w:type="dxa" w:w="5100"/>
            <w:tcMar>
              <w:top w:type="dxa" w:w="60"/>
              <w:left w:type="dxa" w:w="90"/>
              <w:bottom w:type="dxa" w:w="60"/>
              <w:right w:type="dxa" w:w="90"/>
            </w:tcMar>
            <w:vAlign w:val="center"/>
          </w:tcPr>
          <w:p>
            <w:pPr>
              <w:spacing w:after="0"/>
            </w:pPr>
            <w:r>
              <w:rPr>
                <w:rFonts w:ascii="Calibri" w:cs="Calibri" w:eastAsia="Calibri" w:hAnsi="Calibri"/>
                <w:sz w:val="20"/>
                <w:szCs w:val="20"/>
              </w:rPr>
              <w:t xml:space="preserve">Gardez 5 questions strictement, lancées en classe ; le reste de la fiche part en devoir du soir (c’est l’engagement de transfert). Ne supprimez pas la conversion : c’est l’apport propre de cette séance socle.</w:t>
            </w:r>
          </w:p>
        </w:tc>
      </w:tr>
      <w:tr>
        <w:tc>
          <w:tcPr>
            <w:tcW w:type="dxa" w:w="4200"/>
            <w:tcMar>
              <w:top w:type="dxa" w:w="60"/>
              <w:left w:type="dxa" w:w="90"/>
              <w:bottom w:type="dxa" w:w="60"/>
              <w:right w:type="dxa" w:w="90"/>
            </w:tcMar>
            <w:vAlign w:val="center"/>
          </w:tcPr>
          <w:p>
            <w:pPr>
              <w:spacing w:after="0"/>
            </w:pPr>
            <w:r>
              <w:rPr>
                <w:rFonts w:ascii="Calibri" w:cs="Calibri" w:eastAsia="Calibri" w:hAnsi="Calibri"/>
                <w:b/>
                <w:bCs/>
                <w:sz w:val="20"/>
                <w:szCs w:val="20"/>
              </w:rPr>
              <w:t xml:space="preserve">Tout déborde dès la phase 2</w:t>
            </w:r>
          </w:p>
        </w:tc>
        <w:tc>
          <w:tcPr>
            <w:tcW w:type="dxa" w:w="5100"/>
            <w:tcMar>
              <w:top w:type="dxa" w:w="60"/>
              <w:left w:type="dxa" w:w="90"/>
              <w:bottom w:type="dxa" w:w="60"/>
              <w:right w:type="dxa" w:w="90"/>
            </w:tcMar>
            <w:vAlign w:val="center"/>
          </w:tcPr>
          <w:p>
            <w:pPr>
              <w:spacing w:after="0"/>
            </w:pPr>
            <w:r>
              <w:rPr>
                <w:rFonts w:ascii="Calibri" w:cs="Calibri" w:eastAsia="Calibri" w:hAnsi="Calibri"/>
                <w:sz w:val="20"/>
                <w:szCs w:val="20"/>
              </w:rPr>
              <w:t xml:space="preserve">Coupez dans l’atelier (8 questions), pas dans le test différé ni dans la conversion. La séance installe deux gestes : les deux doivent être vécus.</w:t>
            </w:r>
          </w:p>
        </w:tc>
      </w:tr>
    </w:tbl>
    <w:p>
      <w:pPr>
        <w:pStyle w:val="Heading1"/>
        <w:keepNext/>
        <w:spacing w:after="140" w:before="260"/>
      </w:pPr>
      <w:r>
        <w:rPr>
          <w:rFonts w:ascii="Calibri" w:cs="Calibri" w:eastAsia="Calibri" w:hAnsi="Calibri"/>
          <w:b/>
          <w:bCs/>
          <w:color w:val="1F3864"/>
          <w:sz w:val="28"/>
          <w:szCs w:val="28"/>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expliquer le testing effect avant l’expérience : annoncer la conclusion tue la démonstration.</w:t>
      </w:r>
    </w:p>
    <w:p>
      <w:pPr>
        <w:pStyle w:val="ListParagraph"/>
        <w:numPr>
          <w:ilvl w:val="0"/>
          <w:numId w:val="2"/>
        </w:numPr>
        <w:spacing w:after="120" w:before="0"/>
      </w:pPr>
      <w:r>
        <w:rPr>
          <w:rFonts w:ascii="Calibri" w:cs="Calibri" w:eastAsia="Calibri" w:hAnsi="Calibri"/>
          <w:sz w:val="22"/>
          <w:szCs w:val="22"/>
        </w:rPr>
        <w:t xml:space="preserve">Ne jamais sacrifier le test différé pour gagner du temps sur la conversion : c’est l’expérience qui crée la conviction, elle est incompressible.</w:t>
      </w:r>
    </w:p>
    <w:p>
      <w:pPr>
        <w:pStyle w:val="ListParagraph"/>
        <w:numPr>
          <w:ilvl w:val="0"/>
          <w:numId w:val="2"/>
        </w:numPr>
        <w:spacing w:after="120" w:before="0"/>
      </w:pPr>
      <w:r>
        <w:rPr>
          <w:rFonts w:ascii="Calibri" w:cs="Calibri" w:eastAsia="Calibri" w:hAnsi="Calibri"/>
          <w:sz w:val="22"/>
          <w:szCs w:val="22"/>
        </w:rPr>
        <w:t xml:space="preserve">Ne pas accepter de questions de pure restitution en 1re : au moins 3 questions d’application, sinon le geste rate sa cible en spécialité.</w:t>
      </w:r>
    </w:p>
    <w:p>
      <w:pPr>
        <w:pStyle w:val="ListParagraph"/>
        <w:numPr>
          <w:ilvl w:val="0"/>
          <w:numId w:val="2"/>
        </w:numPr>
        <w:spacing w:after="120" w:before="0"/>
      </w:pPr>
      <w:r>
        <w:rPr>
          <w:rFonts w:ascii="Calibri" w:cs="Calibri" w:eastAsia="Calibri" w:hAnsi="Calibri"/>
          <w:sz w:val="22"/>
          <w:szCs w:val="22"/>
        </w:rPr>
        <w:t xml:space="preserve">Ne pas rajouter la calibration quantifiée (prédiction de score) de B2 : elle est volontairement reportée à E2 puis B4 — la séance est déjà pleine.</w:t>
      </w:r>
    </w:p>
    <w:p>
      <w:pPr>
        <w:pStyle w:val="ListParagraph"/>
        <w:numPr>
          <w:ilvl w:val="0"/>
          <w:numId w:val="2"/>
        </w:numPr>
        <w:spacing w:after="120" w:before="0"/>
      </w:pPr>
      <w:r>
        <w:rPr>
          <w:rFonts w:ascii="Calibri" w:cs="Calibri" w:eastAsia="Calibri" w:hAnsi="Calibri"/>
          <w:sz w:val="22"/>
          <w:szCs w:val="22"/>
        </w:rPr>
        <w:t xml:space="preserve">Ne pas laisser une « belle fiche » passer pour une fiche de récupération : le test est « peux-tu t’interroger avec le recto seul », pas la mise en page.</w:t>
      </w:r>
    </w:p>
    <w:p>
      <w:pPr>
        <w:pStyle w:val="ListParagraph"/>
        <w:numPr>
          <w:ilvl w:val="0"/>
          <w:numId w:val="2"/>
        </w:numPr>
        <w:spacing w:after="120" w:before="0"/>
      </w:pPr>
      <w:r>
        <w:rPr>
          <w:rFonts w:ascii="Calibri" w:cs="Calibri" w:eastAsia="Calibri" w:hAnsi="Calibri"/>
          <w:sz w:val="22"/>
          <w:szCs w:val="22"/>
        </w:rPr>
        <w:t xml:space="preserve">Ne pas trancher le débat prise de notes main / clavier : la recherche ne l’a pas tranché (Mueller &amp; Oppenheimer, 2014 vs Morehead et al., 2019). Hors sujet ici, mais si la question surgit, rester neutre.</w:t>
      </w:r>
    </w:p>
    <w:p>
      <w:pPr>
        <w:pStyle w:val="Heading1"/>
        <w:keepNext/>
        <w:spacing w:after="140" w:before="260"/>
      </w:pPr>
      <w:r>
        <w:rPr>
          <w:rFonts w:ascii="Calibri" w:cs="Calibri" w:eastAsia="Calibri" w:hAnsi="Calibri"/>
          <w:b/>
          <w:bCs/>
          <w:color w:val="1F3864"/>
          <w:sz w:val="28"/>
          <w:szCs w:val="28"/>
        </w:rPr>
        <w:t xml:space="preserve">7. Différenciation</w:t>
      </w:r>
    </w:p>
    <w:p>
      <w:pPr>
        <w:pStyle w:val="ListParagraph"/>
        <w:numPr>
          <w:ilvl w:val="0"/>
          <w:numId w:val="2"/>
        </w:num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à l’atelier, viser 6 questions avec la banque d’amorces du support 2 ; à la conversion, proposer la conversion guidée de la fiche d’exemple du support 3 (variante choisie selon les spécialités de l’élève) : les premières questions sont déjà converties, l’élève produit les suivantes sur le même texte.</w:t>
      </w:r>
    </w:p>
    <w:p>
      <w:pPr>
        <w:pStyle w:val="ListParagraph"/>
        <w:numPr>
          <w:ilvl w:val="0"/>
          <w:numId w:val="2"/>
        </w:numPr>
        <w:spacing w:after="120" w:before="0"/>
      </w:pPr>
      <w:r>
        <w:rPr>
          <w:rFonts w:ascii="Calibri" w:cs="Calibri" w:eastAsia="Calibri" w:hAnsi="Calibri"/>
          <w:b/>
          <w:bCs/>
          <w:sz w:val="22"/>
          <w:szCs w:val="22"/>
        </w:rPr>
        <w:t xml:space="preserve">Élèves performants mais méthodiquement fragiles : </w:t>
      </w:r>
      <w:r>
        <w:rPr>
          <w:rFonts w:ascii="Calibri" w:cs="Calibri" w:eastAsia="Calibri" w:hAnsi="Calibri"/>
          <w:sz w:val="22"/>
          <w:szCs w:val="22"/>
        </w:rPr>
        <w:t xml:space="preserve">exiger des questions d’application qui croisent deux parties du chapitre (« quel lien entre… et… ? », « dans quel exercice combine-t-on… ? ») ; à la conversion, pas plus d’une question de définition sur les cinq.</w:t>
      </w:r>
    </w:p>
    <w:p>
      <w:r>
        <w:br w:type="page"/>
      </w:r>
    </w:p>
    <w:p>
      <w:pPr>
        <w:pStyle w:val="Heading1"/>
        <w:keepNext/>
        <w:spacing w:after="140" w:before="260"/>
      </w:pPr>
      <w:r>
        <w:rPr>
          <w:rFonts w:ascii="Calibri" w:cs="Calibri" w:eastAsia="Calibri" w:hAnsi="Calibri"/>
          <w:b/>
          <w:bCs/>
          <w:color w:val="1F3864"/>
          <w:sz w:val="28"/>
          <w:szCs w:val="28"/>
        </w:rPr>
        <w:t xml:space="preserve">Annexe A — Document A (page 1 de la feuille d’expérience)</w:t>
      </w:r>
    </w:p>
    <w:p>
      <w:pPr>
        <w:spacing w:after="120" w:before="0"/>
      </w:pPr>
      <w:r>
        <w:rPr>
          <w:rFonts w:ascii="Calibri" w:cs="Calibri" w:eastAsia="Calibri" w:hAnsi="Calibri"/>
          <w:i/>
          <w:iCs/>
          <w:sz w:val="20"/>
          <w:szCs w:val="20"/>
        </w:rPr>
        <w:t xml:space="preserve">Méthode imposée : relecture. Temps : 3 minutes. L’élève lit et relit, sans rien noter.</w:t>
      </w:r>
    </w:p>
    <w:p>
      <w:pPr>
        <w:spacing w:after="120" w:before="0"/>
      </w:pPr>
      <w:r>
        <w:rPr>
          <w:rFonts w:ascii="Calibri" w:cs="Calibri" w:eastAsia="Calibri" w:hAnsi="Calibri"/>
          <w:b/>
          <w:bCs/>
          <w:color w:val="1F3864"/>
          <w:sz w:val="24"/>
          <w:szCs w:val="24"/>
        </w:rPr>
        <w:t xml:space="preserve">Les tourbières, des puits de carbone méconnus</w:t>
      </w:r>
    </w:p>
    <w:p>
      <w:pPr>
        <w:spacing w:after="120" w:before="0"/>
      </w:pPr>
      <w:r>
        <w:rPr>
          <w:rFonts w:ascii="Calibri" w:cs="Calibri" w:eastAsia="Calibri" w:hAnsi="Calibri"/>
          <w:sz w:val="22"/>
          <w:szCs w:val="22"/>
        </w:rPr>
        <w:t xml:space="preserve">Les tourbières sont des zones humides où l’accumulation de matière végétale morte, mal décomposée faute d’oxygène, forme un sol organique appelé la tourbe.</w:t>
      </w:r>
    </w:p>
    <w:p>
      <w:pPr>
        <w:spacing w:after="120" w:before="0"/>
      </w:pPr>
      <w:r>
        <w:rPr>
          <w:rFonts w:ascii="Calibri" w:cs="Calibri" w:eastAsia="Calibri" w:hAnsi="Calibri"/>
          <w:sz w:val="22"/>
          <w:szCs w:val="22"/>
        </w:rPr>
        <w:t xml:space="preserve">1. Elles ne couvrent que 3 % des terres émergées, mais stockent environ deux fois plus de carbone que l’ensemble des forêts de la planète.</w:t>
      </w:r>
    </w:p>
    <w:p>
      <w:pPr>
        <w:spacing w:after="120" w:before="0"/>
      </w:pPr>
      <w:r>
        <w:rPr>
          <w:rFonts w:ascii="Calibri" w:cs="Calibri" w:eastAsia="Calibri" w:hAnsi="Calibri"/>
          <w:sz w:val="22"/>
          <w:szCs w:val="22"/>
        </w:rPr>
        <w:t xml:space="preserve">2. Ce stockage repose sur l’eau : tant que la tourbière reste gorgée d’eau, la décomposition est bloquée et le carbone reste piégé.</w:t>
      </w:r>
    </w:p>
    <w:p>
      <w:pPr>
        <w:spacing w:after="120" w:before="0"/>
      </w:pPr>
      <w:r>
        <w:rPr>
          <w:rFonts w:ascii="Calibri" w:cs="Calibri" w:eastAsia="Calibri" w:hAnsi="Calibri"/>
          <w:sz w:val="22"/>
          <w:szCs w:val="22"/>
        </w:rPr>
        <w:t xml:space="preserve">3. Drainées pour l’agriculture ou l’exploitation, elles s’assèchent, la tourbe s’oxyde et relâche dans l’atmosphère le carbone accumulé sur des millénaires.</w:t>
      </w:r>
    </w:p>
    <w:p>
      <w:pPr>
        <w:spacing w:after="120" w:before="0"/>
      </w:pPr>
      <w:r>
        <w:rPr>
          <w:rFonts w:ascii="Calibri" w:cs="Calibri" w:eastAsia="Calibri" w:hAnsi="Calibri"/>
          <w:sz w:val="22"/>
          <w:szCs w:val="22"/>
        </w:rPr>
        <w:t xml:space="preserve">Longtemps considérées comme des terrains sans valeur, les tourbières sont aujourd’hui reconnues comme des alliées essentielles contre le réchauffement, à condition de préserver leur niveau d’eau.</w:t>
      </w:r>
    </w:p>
    <w:p>
      <w:pPr>
        <w:pStyle w:val="Heading1"/>
        <w:keepNext/>
        <w:spacing w:after="140" w:before="260"/>
      </w:pPr>
      <w:r>
        <w:rPr>
          <w:rFonts w:ascii="Calibri" w:cs="Calibri" w:eastAsia="Calibri" w:hAnsi="Calibri"/>
          <w:b/>
          <w:bCs/>
          <w:color w:val="1F3864"/>
          <w:sz w:val="28"/>
          <w:szCs w:val="28"/>
        </w:rPr>
        <w:t xml:space="preserve">Annexe B — Document B (page 2 de la feuille d’expérience)</w:t>
      </w:r>
    </w:p>
    <w:p>
      <w:pPr>
        <w:spacing w:after="120" w:before="0"/>
      </w:pPr>
      <w:r>
        <w:rPr>
          <w:rFonts w:ascii="Calibri" w:cs="Calibri" w:eastAsia="Calibri" w:hAnsi="Calibri"/>
          <w:i/>
          <w:iCs/>
          <w:sz w:val="20"/>
          <w:szCs w:val="20"/>
        </w:rPr>
        <w:t xml:space="preserve">Méthode imposée : lecture (1 min 30) puis rappel écrit feuille retournée (1 min 30).</w:t>
      </w:r>
    </w:p>
    <w:p>
      <w:pPr>
        <w:spacing w:after="120" w:before="0"/>
      </w:pPr>
      <w:r>
        <w:rPr>
          <w:rFonts w:ascii="Calibri" w:cs="Calibri" w:eastAsia="Calibri" w:hAnsi="Calibri"/>
          <w:b/>
          <w:bCs/>
          <w:color w:val="1F3864"/>
          <w:sz w:val="24"/>
          <w:szCs w:val="24"/>
        </w:rPr>
        <w:t xml:space="preserve">Les récifs coralliens face au réchauffement</w:t>
      </w:r>
    </w:p>
    <w:p>
      <w:pPr>
        <w:spacing w:after="120" w:before="0"/>
      </w:pPr>
      <w:r>
        <w:rPr>
          <w:rFonts w:ascii="Calibri" w:cs="Calibri" w:eastAsia="Calibri" w:hAnsi="Calibri"/>
          <w:sz w:val="22"/>
          <w:szCs w:val="22"/>
        </w:rPr>
        <w:t xml:space="preserve">Les récifs coralliens sont des structures calcaires bâties par de minuscules animaux, les polypes, qui vivent en symbiose avec des algues logées dans leurs tissus.</w:t>
      </w:r>
    </w:p>
    <w:p>
      <w:pPr>
        <w:spacing w:after="120" w:before="0"/>
      </w:pPr>
      <w:r>
        <w:rPr>
          <w:rFonts w:ascii="Calibri" w:cs="Calibri" w:eastAsia="Calibri" w:hAnsi="Calibri"/>
          <w:sz w:val="22"/>
          <w:szCs w:val="22"/>
        </w:rPr>
        <w:t xml:space="preserve">1. Ils n’occupent que 0,2 % de la surface des océans, mais abritent près d’un quart de toutes les espèces marines connues.</w:t>
      </w:r>
    </w:p>
    <w:p>
      <w:pPr>
        <w:spacing w:after="120" w:before="0"/>
      </w:pPr>
      <w:r>
        <w:rPr>
          <w:rFonts w:ascii="Calibri" w:cs="Calibri" w:eastAsia="Calibri" w:hAnsi="Calibri"/>
          <w:sz w:val="22"/>
          <w:szCs w:val="22"/>
        </w:rPr>
        <w:t xml:space="preserve">2. Cet équilibre repose sur la température : au-delà d’un certain seuil, les polypes expulsent leurs algues et blanchissent, perdant leur principale source de nourriture.</w:t>
      </w:r>
    </w:p>
    <w:p>
      <w:pPr>
        <w:spacing w:after="120" w:before="0"/>
      </w:pPr>
      <w:r>
        <w:rPr>
          <w:rFonts w:ascii="Calibri" w:cs="Calibri" w:eastAsia="Calibri" w:hAnsi="Calibri"/>
          <w:sz w:val="22"/>
          <w:szCs w:val="22"/>
        </w:rPr>
        <w:t xml:space="preserve">3. Si l’eau chaude persiste, le corail meurt ; répétés, ces épisodes de blanchissement finissent par détruire des récifs entiers.</w:t>
      </w:r>
    </w:p>
    <w:p>
      <w:pPr>
        <w:spacing w:after="120" w:before="0"/>
      </w:pPr>
      <w:r>
        <w:rPr>
          <w:rFonts w:ascii="Calibri" w:cs="Calibri" w:eastAsia="Calibri" w:hAnsi="Calibri"/>
          <w:sz w:val="22"/>
          <w:szCs w:val="22"/>
        </w:rPr>
        <w:t xml:space="preserve">Longtemps perçus comme de simples décors sous-marins, les récifs sont désormais reconnus comme des écosystèmes vitaux, dont la survie dépend étroitement de la stabilité thermique des océans.</w:t>
      </w:r>
    </w:p>
    <w:p>
      <w:pPr>
        <w:pBdr>
          <w:top w:val="single" w:color="999999" w:sz="6" w:space="6"/>
          <w:bottom w:val="single" w:color="999999" w:sz="6" w:space="6"/>
          <w:left w:val="single" w:color="999999" w:sz="6" w:space="8"/>
          <w:right w:val="single" w:color="999999" w:sz="6" w:space="8"/>
        </w:pBdr>
        <w:shd w:fill="F2F2F2" w:val="clear"/>
        <w:spacing w:after="0" w:before="0"/>
      </w:pPr>
      <w:r>
        <w:rPr>
          <w:rFonts w:ascii="Calibri" w:cs="Calibri" w:eastAsia="Calibri" w:hAnsi="Calibri"/>
          <w:b/>
          <w:bCs/>
          <w:sz w:val="21"/>
          <w:szCs w:val="21"/>
        </w:rPr>
        <w:t xml:space="preserve">Pourquoi ces deux textes ? </w:t>
      </w:r>
      <w:r>
        <w:rPr>
          <w:rFonts w:ascii="Calibri" w:cs="Calibri" w:eastAsia="Calibri" w:hAnsi="Calibri"/>
          <w:sz w:val="21"/>
          <w:szCs w:val="21"/>
        </w:rPr>
        <w:t xml:space="preserve">sujets neutres, accessibles à toutes les spécialités, de structure strictement identique (une définition, trois points chiffrés, une conclusion « longtemps… aujourd’hui… »). Le progrès mesuré vient de la méthode, pas de la difficulté du sujet. Ne les remplacez pas par un contenu disciplinaire : cela biaiserait la comparaison.</w:t>
      </w:r>
    </w:p>
    <w:p>
      <w:pPr>
        <w:pStyle w:val="Heading1"/>
        <w:keepNext/>
        <w:spacing w:after="140" w:before="260"/>
      </w:pPr>
      <w:r>
        <w:rPr>
          <w:rFonts w:ascii="Calibri" w:cs="Calibri" w:eastAsia="Calibri" w:hAnsi="Calibri"/>
          <w:b/>
          <w:bCs/>
          <w:color w:val="1F3864"/>
          <w:sz w:val="28"/>
          <w:szCs w:val="28"/>
        </w:rPr>
        <w:t xml:space="preserve">Annexe C — Test différé et corrigé (à projeter en phase 4)</w:t>
      </w:r>
    </w:p>
    <w:p>
      <w:pPr>
        <w:spacing w:after="120" w:before="0"/>
      </w:pPr>
      <w:r>
        <w:rPr>
          <w:rFonts w:ascii="Calibri" w:cs="Calibri" w:eastAsia="Calibri" w:hAnsi="Calibri"/>
          <w:b/>
          <w:bCs/>
          <w:sz w:val="22"/>
          <w:szCs w:val="22"/>
        </w:rPr>
        <w:t xml:space="preserve">Questions — écran 8 (l’élève répond de mémoire, feuille non rouverte sur les textes) :</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4650"/>
        <w:gridCol w:w="4650"/>
      </w:tblGrid>
      <w:tr>
        <w:trPr>
          <w:tblHeader/>
        </w:trPr>
        <w:tc>
          <w:tcPr>
            <w:tcW w:type="dxa" w:w="465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Document A — tourbières</w:t>
            </w:r>
          </w:p>
        </w:tc>
        <w:tc>
          <w:tcPr>
            <w:tcW w:type="dxa" w:w="465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Document B — récifs</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A1. Comment appelle-t-on le sol organique d’une tourbière ?</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B1. Quels animaux bâtissent les récifs coralliens ?</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A2. Quelle part des terres émergées les tourbières couvrent-elles ?</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B2. Quelle part de la surface des océans les récifs occupent-ils ?</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A3. Qu’est-ce qui bloque la décomposition dans une tourbière ?</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B3. Qu’est-ce qui déclenche le blanchissement du corail ?</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A4. Que se passe-t-il quand une tourbière est drainée ?</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B4. Que deviennent les récifs si l’eau chaude persiste ?</w:t>
            </w:r>
          </w:p>
        </w:tc>
      </w:tr>
    </w:tbl>
    <w:p>
      <w:pPr>
        <w:spacing w:after="120" w:before="140"/>
      </w:pPr>
      <w:r>
        <w:rPr>
          <w:rFonts w:ascii="Calibri" w:cs="Calibri" w:eastAsia="Calibri" w:hAnsi="Calibri"/>
          <w:b/>
          <w:bCs/>
          <w:sz w:val="22"/>
          <w:szCs w:val="22"/>
        </w:rPr>
        <w:t xml:space="preserve">Corrigé — écran 9 (1 point par réponse correcte) :</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4650"/>
        <w:gridCol w:w="4650"/>
      </w:tblGrid>
      <w:tr>
        <w:trPr>
          <w:tblHeader/>
        </w:trPr>
        <w:tc>
          <w:tcPr>
            <w:tcW w:type="dxa" w:w="465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A — réponses</w:t>
            </w:r>
          </w:p>
        </w:tc>
        <w:tc>
          <w:tcPr>
            <w:tcW w:type="dxa" w:w="4650"/>
            <w:shd w:fill="2E5395" w:val="clear"/>
            <w:tcMar>
              <w:top w:type="dxa" w:w="60"/>
              <w:left w:type="dxa" w:w="90"/>
              <w:bottom w:type="dxa" w:w="60"/>
              <w:right w:type="dxa" w:w="90"/>
            </w:tcMar>
            <w:vAlign w:val="center"/>
          </w:tcPr>
          <w:p>
            <w:pPr>
              <w:spacing w:after="0"/>
              <w:jc w:val="left"/>
            </w:pPr>
            <w:r>
              <w:rPr>
                <w:rFonts w:ascii="Calibri" w:cs="Calibri" w:eastAsia="Calibri" w:hAnsi="Calibri"/>
                <w:b/>
                <w:bCs/>
                <w:color w:val="FFFFFF"/>
                <w:sz w:val="20"/>
                <w:szCs w:val="20"/>
              </w:rPr>
              <w:t xml:space="preserve">B — réponses</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A1. la tourbe</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B1. les polypes</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A2. environ 3 %</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B2. environ 0,2 %</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A3. l’eau (sol gorgé d’eau, absence d’oxygène)</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B3. une température trop élevée (au-delà d’un seuil)</w:t>
            </w:r>
          </w:p>
        </w:tc>
      </w:tr>
      <w:tr>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A4. la tourbe s’oxyde et relâche le carbone stocké</w:t>
            </w:r>
          </w:p>
        </w:tc>
        <w:tc>
          <w:tcPr>
            <w:tcW w:type="dxa" w:w="4650"/>
            <w:tcMar>
              <w:top w:type="dxa" w:w="60"/>
              <w:left w:type="dxa" w:w="90"/>
              <w:bottom w:type="dxa" w:w="60"/>
              <w:right w:type="dxa" w:w="90"/>
            </w:tcMar>
            <w:vAlign w:val="center"/>
          </w:tcPr>
          <w:p>
            <w:pPr>
              <w:spacing w:after="0"/>
            </w:pPr>
            <w:r>
              <w:rPr>
                <w:rFonts w:ascii="Calibri" w:cs="Calibri" w:eastAsia="Calibri" w:hAnsi="Calibri"/>
                <w:sz w:val="20"/>
                <w:szCs w:val="20"/>
              </w:rPr>
              <w:t xml:space="preserve">B4. le corail meurt, les récifs sont détruits</w:t>
            </w:r>
          </w:p>
        </w:tc>
      </w:tr>
    </w:tbl>
    <w:p>
      <w:pPr>
        <w:pStyle w:val="Heading1"/>
        <w:keepNext/>
        <w:spacing w:after="140" w:before="260"/>
      </w:pPr>
      <w:r>
        <w:rPr>
          <w:rFonts w:ascii="Calibri" w:cs="Calibri" w:eastAsia="Calibri" w:hAnsi="Calibri"/>
          <w:b/>
          <w:bCs/>
          <w:color w:val="1F3864"/>
          <w:sz w:val="28"/>
          <w:szCs w:val="28"/>
        </w:rPr>
        <w:t xml:space="preserve">Annexe D — Message type à envoyer aux élèves (ENT, 3 jours avant)</w:t>
      </w:r>
    </w:p>
    <w:p>
      <w:pPr>
        <w:pBdr>
          <w:top w:val="single" w:color="999999" w:sz="6" w:space="6"/>
          <w:left w:val="single" w:color="999999" w:sz="6" w:space="8"/>
          <w:right w:val="single" w:color="999999" w:sz="6" w:space="8"/>
        </w:pBdr>
        <w:shd w:fill="F2F2F2" w:val="clear"/>
        <w:spacing w:after="80" w:before="0"/>
      </w:pPr>
      <w:r>
        <w:rPr>
          <w:rFonts w:ascii="Calibri" w:cs="Calibri" w:eastAsia="Calibri" w:hAnsi="Calibri"/>
          <w:b/>
          <w:bCs/>
          <w:sz w:val="21"/>
          <w:szCs w:val="21"/>
        </w:rPr>
        <w:t xml:space="preserve">Objet : </w:t>
      </w:r>
      <w:r>
        <w:rPr>
          <w:rFonts w:ascii="Calibri" w:cs="Calibri" w:eastAsia="Calibri" w:hAnsi="Calibri"/>
          <w:sz w:val="21"/>
          <w:szCs w:val="21"/>
        </w:rPr>
        <w:t xml:space="preserve">Vie de classe — apporter un cours et une fiche</w:t>
      </w:r>
    </w:p>
    <w:p>
      <w:pPr>
        <w:pBdr>
          <w:bottom w:val="single" w:color="999999" w:sz="6" w:space="6"/>
          <w:left w:val="single" w:color="999999" w:sz="6" w:space="8"/>
          <w:right w:val="single" w:color="999999" w:sz="6" w:space="8"/>
        </w:pBdr>
        <w:shd w:fill="F2F2F2" w:val="clear"/>
        <w:spacing w:after="0" w:before="0"/>
      </w:pPr>
      <w:r>
        <w:rPr>
          <w:rFonts w:ascii="Calibri" w:cs="Calibri" w:eastAsia="Calibri" w:hAnsi="Calibri"/>
          <w:sz w:val="21"/>
          <w:szCs w:val="21"/>
        </w:rPr>
        <w:t xml:space="preserve">Pour notre prochaine heure de vie de classe, apporte deux choses : (1) le cours d’une de tes spécialités, avec un chapitre en cours ou récent ; (2) une fiche de révision que tu as déjà faite (n’importe quelle matière). Si tu n’as pas de fiche, apporte simplement le cours, on en créera une ensemble. Pense aussi à ton carnet de méthodes s’il t’a été remis.</w:t>
      </w:r>
    </w:p>
    <w:sectPr>
      <w:pgSz w:w="11906" w:h="16838" w:orient="portrait"/>
      <w:pgMar w:top="907"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2026-07-16T10:13:03.788Z</dcterms:created>
  <dcterms:modified xsi:type="dcterms:W3CDTF">2026-07-16T10:13:03.788Z</dcterms:modified>
</cp:coreProperties>
</file>

<file path=docProps/custom.xml><?xml version="1.0" encoding="utf-8"?>
<Properties xmlns="http://schemas.openxmlformats.org/officeDocument/2006/custom-properties" xmlns:vt="http://schemas.openxmlformats.org/officeDocument/2006/docPropsVTypes"/>
</file>