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81BF7">
      <w:pPr>
        <w:pStyle w:val="2"/>
        <w:bidi w:val="0"/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AI金融算法工程师</w:t>
      </w:r>
    </w:p>
    <w:p w14:paraId="5CC9C4B3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一、岗位画像与日常工作</w:t>
      </w:r>
    </w:p>
    <w:p w14:paraId="086F2AFF">
      <w:pPr>
        <w:rPr>
          <w:rFonts w:hint="eastAsia"/>
        </w:rPr>
      </w:pPr>
      <w:r>
        <w:rPr>
          <w:rFonts w:hint="eastAsia"/>
        </w:rPr>
        <w:t>在人工智能重塑金融业态的今天，一个极具代表性的新型岗位应运而生——AI金融算法工程师（或称大模型训练师）。这一岗位打破了传统金融与纯计算机科学的边界，是连接前沿技术与复杂金融业务的桥梁。</w:t>
      </w:r>
    </w:p>
    <w:p w14:paraId="65937CAB">
      <w:pPr>
        <w:rPr>
          <w:rFonts w:hint="eastAsia"/>
        </w:rPr>
      </w:pPr>
      <w:r>
        <w:rPr>
          <w:rFonts w:hint="eastAsia"/>
        </w:rPr>
        <w:t>他们的日常工作主要包括三大板块：</w:t>
      </w:r>
    </w:p>
    <w:p w14:paraId="570E48C7">
      <w:pPr>
        <w:rPr>
          <w:rFonts w:hint="eastAsia"/>
        </w:rPr>
      </w:pPr>
      <w:r>
        <w:rPr>
          <w:rFonts w:hint="eastAsia"/>
        </w:rPr>
        <w:t>专家知识库梳理与数据投喂：将资深金融专家的隐性经验（如信贷审批逻辑、反欺诈规则、量化交易策略）转化为结构化数据，构建高质量的专业语料库，用于预训练和微调大模型。</w:t>
      </w:r>
    </w:p>
    <w:p w14:paraId="526F0B3C">
      <w:pPr>
        <w:rPr>
          <w:rFonts w:hint="eastAsia"/>
        </w:rPr>
      </w:pPr>
      <w:r>
        <w:rPr>
          <w:rFonts w:hint="eastAsia"/>
        </w:rPr>
        <w:t>场景化智能体开发与调优：针对具体业务痛点（如研报生成、合规审查、贷后管理），设计并部署AI智能体（Agent）。例如，配置工作流让AI自动抓取企业舆情并一键生成信贷尽调报告。</w:t>
      </w:r>
    </w:p>
    <w:p w14:paraId="76849921">
      <w:pPr>
        <w:rPr>
          <w:rFonts w:hint="eastAsia"/>
        </w:rPr>
      </w:pPr>
      <w:r>
        <w:rPr>
          <w:rFonts w:hint="eastAsia"/>
        </w:rPr>
        <w:t>效果评估与安全护栏建设：持续监控AI在实际业务中的表现，解决大模型的“幻觉”问题，确保输出内容的准确性、合规性和可解释性。</w:t>
      </w:r>
    </w:p>
    <w:p w14:paraId="19EE125A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二、核心痛点与挑战</w:t>
      </w:r>
    </w:p>
    <w:p w14:paraId="0C73BCF7">
      <w:pPr>
        <w:rPr>
          <w:rFonts w:hint="eastAsia"/>
        </w:rPr>
      </w:pPr>
      <w:r>
        <w:rPr>
          <w:rFonts w:hint="eastAsia"/>
        </w:rPr>
        <w:t>尽管前景广阔，但AI金融算法工程师在日常工作中面临着严峻的挑战：</w:t>
      </w:r>
    </w:p>
    <w:p w14:paraId="1A04C364">
      <w:pPr>
        <w:rPr>
          <w:rFonts w:hint="eastAsia"/>
        </w:rPr>
      </w:pPr>
      <w:r>
        <w:rPr>
          <w:rFonts w:hint="eastAsia"/>
        </w:rPr>
        <w:t>“数据孤岛”与高质量数据匮乏：金融机构内部系统林立，历史数据标准不一；且真正具备极高专业价值的“专家级”知识往往沉淀在少数人的大脑中，难以被有效提取和数字化。</w:t>
      </w:r>
    </w:p>
    <w:p w14:paraId="49682407">
      <w:pPr>
        <w:rPr>
          <w:rFonts w:hint="eastAsia"/>
        </w:rPr>
      </w:pPr>
      <w:r>
        <w:rPr>
          <w:rFonts w:hint="eastAsia"/>
        </w:rPr>
        <w:t>大模型“幻觉”与金融严谨性的冲突：金融业务对容错率要求极低。大模型可能会一本正经地胡说八道（如虚构不存在的监管条款或财务数据），这在风控和合规场景中是致命的。</w:t>
      </w:r>
    </w:p>
    <w:p w14:paraId="3C469C71">
      <w:pPr>
        <w:rPr>
          <w:rFonts w:hint="eastAsia"/>
        </w:rPr>
      </w:pPr>
      <w:r>
        <w:rPr>
          <w:rFonts w:hint="eastAsia"/>
        </w:rPr>
        <w:t>跨学科复合能力要求极高：既要懂深度学习架构、算力调度，又要精通复杂的金融底层逻辑和监管红线，市场上此类“业技融合”人才极度短缺。</w:t>
      </w:r>
    </w:p>
    <w:p w14:paraId="5C73E444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三、科技赋能与破局之道</w:t>
      </w:r>
    </w:p>
    <w:p w14:paraId="6F55FE05">
      <w:pPr>
        <w:rPr>
          <w:rFonts w:hint="eastAsia"/>
        </w:rPr>
      </w:pPr>
      <w:r>
        <w:rPr>
          <w:rFonts w:hint="eastAsia"/>
        </w:rPr>
        <w:t>为了更高效地开展工作，我们可以引入以下前沿科技手段来破解上述难题：</w:t>
      </w:r>
    </w:p>
    <w:p w14:paraId="469A400A">
      <w:pPr>
        <w:rPr>
          <w:rFonts w:hint="eastAsia"/>
        </w:rPr>
      </w:pPr>
      <w:r>
        <w:rPr>
          <w:rFonts w:hint="eastAsia"/>
        </w:rPr>
        <w:t>引入RAG（检索增强生成）与知识图谱技术，根治“幻觉”</w:t>
      </w:r>
    </w:p>
    <w:p w14:paraId="42B77AAF">
      <w:pPr>
        <w:rPr>
          <w:rFonts w:hint="eastAsia"/>
        </w:rPr>
      </w:pPr>
      <w:r>
        <w:rPr>
          <w:rFonts w:hint="eastAsia"/>
        </w:rPr>
        <w:t>解决方案：不要让大模型仅凭自身记忆回答问题。通过构建金融垂直领域的知识图谱，结合RAG技术，让大模型在生成内容时，必须实时检索权威的数据库、监管文件和历史真实案例作为参考依据。</w:t>
      </w:r>
    </w:p>
    <w:p w14:paraId="67B45F51">
      <w:pPr>
        <w:rPr>
          <w:rFonts w:hint="eastAsia"/>
        </w:rPr>
      </w:pPr>
      <w:r>
        <w:rPr>
          <w:rFonts w:hint="eastAsia"/>
        </w:rPr>
        <w:t>效果：实现生成的每一步都有迹可循、有据可查，大幅降低事实性错误，满足金融审计要求。</w:t>
      </w:r>
    </w:p>
    <w:p w14:paraId="21A0A1CD">
      <w:pPr>
        <w:rPr>
          <w:rFonts w:hint="eastAsia"/>
        </w:rPr>
      </w:pPr>
      <w:r>
        <w:rPr>
          <w:rFonts w:hint="eastAsia"/>
        </w:rPr>
        <w:t>应用多智能体协同（Multi-Agent）与自动化评测框架</w:t>
      </w:r>
    </w:p>
    <w:p w14:paraId="62A18553">
      <w:pPr>
        <w:rPr>
          <w:rFonts w:hint="eastAsia"/>
        </w:rPr>
      </w:pPr>
      <w:r>
        <w:rPr>
          <w:rFonts w:hint="eastAsia"/>
        </w:rPr>
        <w:t>解决方案：改变单一模型包揽全局的模式。采用Anthropic等业界前沿理念，将复杂任务拆解给多个专属智能体（如“数据搜集Agent”、“财务建模Agent”、“合规复核Agent”）流水线作业。同时，建立类似FinGDPVal的自动化评测集，用机器检验机器的产出质量。</w:t>
      </w:r>
    </w:p>
    <w:p w14:paraId="71E7BF0F">
      <w:pPr>
        <w:rPr>
          <w:rFonts w:hint="eastAsia"/>
        </w:rPr>
      </w:pPr>
      <w:r>
        <w:rPr>
          <w:rFonts w:hint="eastAsia"/>
        </w:rPr>
        <w:t>效果：提升复杂任务的端到端处理能力，减少人工反复测试调优的时间成本。</w:t>
      </w:r>
    </w:p>
    <w:p w14:paraId="4B1EC6BA">
      <w:pPr>
        <w:rPr>
          <w:rFonts w:hint="eastAsia"/>
        </w:rPr>
      </w:pPr>
      <w:r>
        <w:rPr>
          <w:rFonts w:hint="eastAsia"/>
        </w:rPr>
        <w:t>利用隐私计算与合成数据打破“数据瓶颈”</w:t>
      </w:r>
    </w:p>
    <w:p w14:paraId="76125F0C">
      <w:pPr>
        <w:rPr>
          <w:rFonts w:hint="eastAsia"/>
        </w:rPr>
      </w:pPr>
      <w:r>
        <w:rPr>
          <w:rFonts w:hint="eastAsia"/>
        </w:rPr>
        <w:t>解决方案：面对敏感数据和样本不足的问题，运用联邦学习、多方安全计算等技术，在“数据可用不可见”的前提下联合多方数据进行模型训练；同时利用AI生成逼真的“合成数据”来补充长尾风险场景的训练样本。</w:t>
      </w:r>
    </w:p>
    <w:p w14:paraId="25B896AB">
      <w:pPr>
        <w:rPr>
          <w:rFonts w:hint="eastAsia"/>
        </w:rPr>
      </w:pPr>
      <w:r>
        <w:rPr>
          <w:rFonts w:hint="eastAsia"/>
        </w:rPr>
        <w:t>效果：在绝对保障数据安全合规的前提下，极大丰富模型的训练素材，提升反欺诈等高风险场景的识别率。</w:t>
      </w:r>
    </w:p>
    <w:p w14:paraId="3171E7AA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四、总结展望</w:t>
      </w:r>
    </w:p>
    <w:p w14:paraId="03501E89">
      <w:pPr>
        <w:rPr>
          <w:rFonts w:hint="eastAsia"/>
        </w:rPr>
      </w:pPr>
      <w:r>
        <w:rPr>
          <w:rFonts w:hint="eastAsia"/>
        </w:rPr>
        <w:t>AI金融算法工程师并不是要取代传统的金融从业者，而是充当“超级放大器”。通过不断迭代技术手段，我们将把繁琐的体力活交给AI，让人类专家回归高价值的战略判断与情感沟通。在这个人机协同的新纪元，谁能率先掌握这些科技利器，谁就能在金融数智化转型的浪潮中抢占先机。</w:t>
      </w:r>
    </w:p>
    <w:p w14:paraId="1E1C3A46">
      <w:pPr>
        <w:rPr>
          <w:rFonts w:hint="eastAsia" w:eastAsia="宋体"/>
          <w:lang w:eastAsia="zh-CN"/>
        </w:rPr>
      </w:pPr>
      <w:bookmarkStart w:id="0" w:name="_GoBack"/>
      <w:bookmarkEnd w:id="0"/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355600</wp:posOffset>
            </wp:positionH>
            <wp:positionV relativeFrom="paragraph">
              <wp:posOffset>76200</wp:posOffset>
            </wp:positionV>
            <wp:extent cx="3794125" cy="2809240"/>
            <wp:effectExtent l="0" t="0" r="635" b="10160"/>
            <wp:wrapTopAndBottom/>
            <wp:docPr id="2" name="图片 2" descr="屏幕截图 2026-06-29 215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29 2157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412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E236F7"/>
    <w:rsid w:val="696F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723" w:firstLineChars="200"/>
      <w:jc w:val="both"/>
    </w:pPr>
    <w:rPr>
      <w:rFonts w:eastAsia="宋体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1258</Words>
  <Characters>1313</Characters>
  <Lines>0</Lines>
  <Paragraphs>0</Paragraphs>
  <TotalTime>4</TotalTime>
  <ScaleCrop>false</ScaleCrop>
  <LinksUpToDate>false</LinksUpToDate>
  <CharactersWithSpaces>1313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2026-06-08T02:32:00Z</dcterms:created>
  <dc:creator>Lenovo</dc:creator>
  <cp:lastModifiedBy>。</cp:lastModifiedBy>
  <dcterms:modified xsi:type="dcterms:W3CDTF">2026-06-29T13:59:37Z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eyJoZGlkIjoiMmM3MzIzNDViNjZjMDc3NzdmMWVkMzQzMGJjYzc5ZDMiLCJ1c2VySWQiOiIxMDIzNjAyMDc1In0=</vt:lpwstr>
  </property>
  <property fmtid="{D5CDD505-2E9C-101B-9397-08002B2CF9AE}" pid="4" name="ICV">
    <vt:lpwstr>834245CA180C483EA5A10201C0CCDDA2_12</vt:lpwstr>
  </property>
</Properties>
</file>