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Incident State Alignment - Options Comparison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Decision requested: choose one path for the incident state model and Major Incident Management (MIM).</w:t>
      </w:r>
    </w:p>
    <w:p>
      <w:pPr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Why the state model decides the MIM outcome</w:t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Major Incident Management is built by ServiceNow on the assumption of the OOTB state model. Its flows, business rules, and workbench logic reference the standard state values - the exact values our customizations diverged.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Enabling MIM without alignment means customizing the plugin itself to tolerate a broken foundation, then discarding that work when alignment eventually happens.</w:t>
      </w:r>
    </w:p>
    <w:p>
      <w:pPr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The three options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4200"/>
        <w:gridCol w:w="4550"/>
      </w:tblGrid>
      <w:tr>
        <w:trPr>
          <w:tblHeader/>
        </w:trPr>
        <w:tc>
          <w:tcPr>
            <w:tcW w:type="dxa" w:w="205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Option</w:t>
            </w:r>
          </w:p>
        </w:tc>
        <w:tc>
          <w:tcPr>
            <w:tcW w:type="dxa" w:w="42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Pros</w:t>
            </w:r>
          </w:p>
        </w:tc>
        <w:tc>
          <w:tcPr>
            <w:tcW w:type="dxa" w:w="455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Cons (developer view)</w:t>
            </w:r>
          </w:p>
        </w:tc>
      </w:tr>
      <w:tr>
        <w:tc>
          <w:tcPr>
            <w:tcW w:type="dxa" w:w="20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1. Keep custom states, no Major Incident Mgmt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95959"/>
                <w:sz w:val="15"/>
                <w:szCs w:val="15"/>
              </w:rPr>
              <w:t xml:space="preserve">Do nothing</w:t>
            </w:r>
          </w:p>
        </w:tc>
        <w:tc>
          <w:tcPr>
            <w:tcW w:type="dxa" w:w="4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Zero project cost; no change window, no regression risk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Team already knows the current model</w:t>
            </w:r>
          </w:p>
        </w:tc>
        <w:tc>
          <w:tcPr>
            <w:tcW w:type="dxa" w:w="45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 production defects stay open; symptom patching continues indefinitely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 sync: every new script / flow / report must special-case two diverging fields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Upgrade cost grows every release (skipped-record reviews)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 structured P1 / major incident tooling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Debt compounds - the 300-hr fix only gets bigger</w:t>
            </w:r>
          </w:p>
        </w:tc>
      </w:tr>
      <w:tr>
        <w:tc>
          <w:tcPr>
            <w:tcW w:type="dxa" w:w="2050"/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2. Keep custom states + enable Major Incident Mgmt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95959"/>
                <w:sz w:val="15"/>
                <w:szCs w:val="15"/>
              </w:rPr>
              <w:t xml:space="preserve">Build on current model</w:t>
            </w:r>
          </w:p>
        </w:tc>
        <w:tc>
          <w:tcPr>
            <w:tcW w:type="dxa" w:w="4200"/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Delivers MIM capability (workbench, communications, post-incident review) without the migration now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 historical data migration in this step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Visible near-term win for the business</w:t>
            </w:r>
          </w:p>
        </w:tc>
        <w:tc>
          <w:tcPr>
            <w:tcW w:type="dxa" w:w="4550"/>
            <w:shd w:fill="F2F6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MIM assumes the OOTB state model - its flows, rules, and workbench logic reference the values we diverged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Requires customizing the plugin's own logic: customizations on top of customizations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Retrofit work is thrown away when alignment happens later - highest total cost of the three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The 4 defects remain - and can now surface inside a major incident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Every MIM upgrade collides with our overrides; testing surface doubles</w:t>
            </w:r>
          </w:p>
        </w:tc>
      </w:tr>
      <w:tr>
        <w:tc>
          <w:tcPr>
            <w:tcW w:type="dxa" w:w="2050"/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3. Align states to OOTB + enable Major Incident Mgmt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95959"/>
                <w:sz w:val="15"/>
                <w:szCs w:val="15"/>
              </w:rPr>
              <w:t xml:space="preserve">Recommended</w:t>
            </w:r>
          </w:p>
        </w:tc>
        <w:tc>
          <w:tcPr>
            <w:tcW w:type="dxa" w:w="4200"/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Fixes the root cause; closes the 4 defects permanently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MIM works as designed - zero retrofit, upgrade-safe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Native state sync returns; standard model for every future integration, report, and hire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De-risked: discovery + migration scripts already built (dry-run, reversible, clone rehearsal)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One regression cycle covers both changes</w:t>
            </w:r>
          </w:p>
        </w:tc>
        <w:tc>
          <w:tcPr>
            <w:tcW w:type="dxa" w:w="4550"/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300+ hours and a production change window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Historical data migration is the high-risk item (mitigated by tooling and rehearsal)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New labels need brief user communication / training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MIM rollout needs process ownership (promotion criteria, comms roles) - org work beyond development</w:t>
            </w:r>
          </w:p>
        </w:tc>
      </w:tr>
    </w:tbl>
    <w:p>
      <w:pPr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Developer recommendation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Option 3</w:t>
      </w:r>
      <w:r>
        <w:rPr>
          <w:rFonts w:ascii="Calibri" w:cs="Calibri" w:eastAsia="Calibri" w:hAnsi="Calibri"/>
          <w:sz w:val="18"/>
          <w:szCs w:val="18"/>
        </w:rPr>
        <w:t xml:space="preserve">, sequenced as: align the state model first, then enable MIM on the clean foundation. If budget forces phasing, split Option 3 into two releases.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Avoid Option 2: it builds new capability on the broken foundation, doubles the defect exposure during major incidents, and converts today's 300-hour fix into a larger one.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2026-07-20T18:19:22.202Z</dcterms:created>
  <dcterms:modified xsi:type="dcterms:W3CDTF">2026-07-20T18:19:22.215Z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