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每次事故500元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雇主责任险伤残等级赔偿限额比例表：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不计工伤保险赔偿条款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宿舍责任条款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5-10级一次性就业补助金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B4943"/>
    <w:rsid w:val="2B2B4943"/>
    <w:rsid w:val="46B1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2021-05-28T12:13:27Z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44B0714A47294FA4ABA7481997EE2B58</vt:lpwstr>
  </property>
</Properties>
</file>