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每次事故500元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雇主责任险伤残等级赔偿限额比例表：</w:t>
      </w:r>
    </w:p>
    <w:tbl>
      <w:tblPr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不计工伤保险赔偿条款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宿舍责任条款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5-10级一次性就业补助金</w:t>
      </w:r>
    </w:p>
    <w:bookmarkEnd w:id="0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B4943"/>
    <w:rsid w:val="049E681A"/>
    <w:rsid w:val="2B2B4943"/>
    <w:rsid w:val="2EF92B43"/>
    <w:rsid w:val="3A456693"/>
    <w:rsid w:val="46B10447"/>
    <w:rsid w:val="4727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2021-05-28T12:14:09Z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9D0BBAB0C64F4B6786C36542DFFEAE55</vt:lpwstr>
  </property>
</Properties>
</file>