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CC69" w14:textId="77777777" w:rsidR="00994DE6" w:rsidRPr="007362E4" w:rsidRDefault="00A207C9" w:rsidP="00994DE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77777777" w:rsidR="00994DE6" w:rsidRPr="007E7D80" w:rsidRDefault="00994DE6" w:rsidP="00994DE6">
      <w:pPr>
        <w:jc w:val="center"/>
        <w:rPr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End w:id="0"/>
      <w:r w:rsidRPr="007E7D80">
        <w:rPr>
          <w:rFonts w:hint="eastAsia"/>
          <w:b/>
          <w:sz w:val="32"/>
          <w:szCs w:val="32"/>
        </w:rPr>
        <w:t>问卷</w:t>
      </w:r>
      <w:bookmarkEnd w:id="1"/>
    </w:p>
    <w:p w14:paraId="41DF393D" w14:textId="77777777" w:rsidR="001513DD" w:rsidRDefault="001513DD" w:rsidP="001513DD">
      <w:pPr>
        <w:spacing w:line="276" w:lineRule="auto"/>
      </w:pPr>
    </w:p>
    <w:p w14:paraId="2BA3B732" w14:textId="1EC00C7E" w:rsidR="001513DD" w:rsidRPr="001513DD" w:rsidRDefault="001513DD" w:rsidP="001513DD">
      <w:pPr>
        <w:spacing w:line="360" w:lineRule="auto"/>
        <w:rPr>
          <w:rFonts w:hint="eastAsia"/>
          <w:sz w:val="24"/>
        </w:rPr>
      </w:pPr>
      <w:r w:rsidRPr="001513DD">
        <w:rPr>
          <w:rFonts w:hint="eastAsia"/>
          <w:sz w:val="24"/>
        </w:rPr>
        <w:t>访谈对象：</w:t>
      </w:r>
      <w:r w:rsidR="00044DC7">
        <w:rPr>
          <w:rFonts w:hint="eastAsia"/>
          <w:sz w:val="24"/>
        </w:rPr>
        <w:t>钟</w:t>
      </w:r>
      <w:r w:rsidR="00044DC7">
        <w:rPr>
          <w:sz w:val="24"/>
        </w:rPr>
        <w:t>磊</w:t>
      </w:r>
      <w:r w:rsidR="00AF6EFA" w:rsidRPr="001513DD">
        <w:rPr>
          <w:sz w:val="24"/>
        </w:rPr>
        <w:t xml:space="preserve"> </w:t>
      </w:r>
    </w:p>
    <w:p w14:paraId="42B7D16E" w14:textId="01E36C20" w:rsidR="001513DD" w:rsidRPr="001513DD" w:rsidRDefault="00044DC7" w:rsidP="001513DD">
      <w:pPr>
        <w:spacing w:line="360" w:lineRule="auto"/>
        <w:rPr>
          <w:rFonts w:hint="eastAsia"/>
          <w:sz w:val="24"/>
        </w:rPr>
      </w:pPr>
      <w:r>
        <w:rPr>
          <w:sz w:val="24"/>
        </w:rPr>
        <w:t>访谈人</w:t>
      </w:r>
      <w:r>
        <w:rPr>
          <w:rFonts w:hint="eastAsia"/>
          <w:sz w:val="24"/>
        </w:rPr>
        <w:t>：</w:t>
      </w:r>
      <w:proofErr w:type="gramStart"/>
      <w:r>
        <w:rPr>
          <w:sz w:val="24"/>
        </w:rPr>
        <w:t>陈力杰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郭海洋</w:t>
      </w:r>
    </w:p>
    <w:p w14:paraId="20EA41C1" w14:textId="4398532B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="00AF6EFA">
        <w:rPr>
          <w:rFonts w:hint="eastAsia"/>
          <w:sz w:val="24"/>
        </w:rPr>
        <w:t>2017/9/18</w:t>
      </w:r>
      <w:r w:rsidR="00AF6EFA">
        <w:rPr>
          <w:sz w:val="24"/>
        </w:rPr>
        <w:t xml:space="preserve"> </w:t>
      </w:r>
      <w:r w:rsidR="00AF6EFA">
        <w:rPr>
          <w:rFonts w:hint="eastAsia"/>
          <w:sz w:val="24"/>
        </w:rPr>
        <w:t>10:30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  <w:r w:rsidR="00AF6EFA">
        <w:rPr>
          <w:rFonts w:hint="eastAsia"/>
          <w:sz w:val="24"/>
        </w:rPr>
        <w:t>办公室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/>
          <w:sz w:val="24"/>
        </w:rPr>
      </w:pPr>
    </w:p>
    <w:p w14:paraId="712D8E5C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</w:t>
      </w:r>
      <w:proofErr w:type="gramStart"/>
      <w:r w:rsidR="006B5059">
        <w:rPr>
          <w:rFonts w:ascii="宋体" w:hAnsi="宋体" w:hint="eastAsia"/>
          <w:sz w:val="24"/>
        </w:rPr>
        <w:t>风控进行</w:t>
      </w:r>
      <w:proofErr w:type="gramEnd"/>
      <w:r w:rsidR="006B5059">
        <w:rPr>
          <w:rFonts w:ascii="宋体" w:hAnsi="宋体" w:hint="eastAsia"/>
          <w:sz w:val="24"/>
        </w:rPr>
        <w:t>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BC98C0B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>
        <w:rPr>
          <w:rFonts w:ascii="宋体" w:hAnsi="宋体" w:hint="eastAsia"/>
          <w:sz w:val="24"/>
        </w:rPr>
        <w:t>方面的意见和建议，并了解</w:t>
      </w:r>
      <w:r w:rsidR="006B5059">
        <w:rPr>
          <w:rFonts w:ascii="宋体" w:hAnsi="宋体" w:hint="eastAsia"/>
          <w:sz w:val="24"/>
        </w:rPr>
        <w:t>未来部门</w:t>
      </w:r>
      <w:proofErr w:type="gramStart"/>
      <w:r w:rsidR="006B5059">
        <w:rPr>
          <w:rFonts w:ascii="宋体" w:hAnsi="宋体" w:hint="eastAsia"/>
          <w:sz w:val="24"/>
        </w:rPr>
        <w:t>对风控系统</w:t>
      </w:r>
      <w:proofErr w:type="gramEnd"/>
      <w:r w:rsidR="006B5059">
        <w:rPr>
          <w:rFonts w:ascii="宋体" w:hAnsi="宋体" w:hint="eastAsia"/>
          <w:sz w:val="24"/>
        </w:rPr>
        <w:t>的期望</w:t>
      </w:r>
      <w:r w:rsidRPr="0068656A">
        <w:rPr>
          <w:rFonts w:ascii="宋体" w:hAnsi="宋体" w:hint="eastAsia"/>
          <w:sz w:val="24"/>
        </w:rPr>
        <w:t>。</w:t>
      </w:r>
    </w:p>
    <w:p w14:paraId="5E0E6FEA" w14:textId="77777777" w:rsidR="007A226C" w:rsidRPr="007D542A" w:rsidRDefault="007A226C" w:rsidP="007A226C"/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</w:p>
    <w:p w14:paraId="7BD9B15C" w14:textId="46CC0199" w:rsidR="00AE4963" w:rsidRDefault="00AE4963" w:rsidP="002E443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了解</w:t>
      </w:r>
      <w:r>
        <w:t>清算所大致业务</w:t>
      </w:r>
    </w:p>
    <w:p w14:paraId="1B663775" w14:textId="35C29D59" w:rsidR="00AE4963" w:rsidRDefault="00AE4963" w:rsidP="00AE49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以大宗类</w:t>
      </w:r>
      <w:r>
        <w:rPr>
          <w:rFonts w:hint="eastAsia"/>
        </w:rPr>
        <w:t>OTC</w:t>
      </w:r>
      <w:r>
        <w:t>为主，</w:t>
      </w:r>
      <w:r>
        <w:rPr>
          <w:rFonts w:hint="eastAsia"/>
        </w:rPr>
        <w:t>发售</w:t>
      </w:r>
      <w:r>
        <w:t>类较少</w:t>
      </w:r>
      <w:bookmarkStart w:id="2" w:name="_GoBack"/>
      <w:bookmarkEnd w:id="2"/>
    </w:p>
    <w:p w14:paraId="6D488098" w14:textId="142C2024" w:rsidR="00416E22" w:rsidRDefault="002E4432" w:rsidP="002E4432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大致了解大宗类和权益类</w:t>
      </w:r>
    </w:p>
    <w:p w14:paraId="35D6FBE1" w14:textId="2E4B5CE0" w:rsidR="00DB6A39" w:rsidRDefault="00DB6A39" w:rsidP="00DB6A39">
      <w:pPr>
        <w:pStyle w:val="a3"/>
        <w:ind w:left="360" w:firstLineChars="0" w:firstLine="0"/>
      </w:pPr>
      <w:r>
        <w:rPr>
          <w:rFonts w:hint="eastAsia"/>
        </w:rPr>
        <w:t>大宗：</w:t>
      </w:r>
      <w:r>
        <w:t>连续交易</w:t>
      </w:r>
    </w:p>
    <w:p w14:paraId="63E7F734" w14:textId="34E179E4" w:rsidR="00DB6A39" w:rsidRDefault="00DB6A39" w:rsidP="00DB6A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权益类：</w:t>
      </w:r>
      <w:r>
        <w:t>一次性</w:t>
      </w:r>
      <w:r>
        <w:rPr>
          <w:rFonts w:hint="eastAsia"/>
        </w:rPr>
        <w:t>转让，</w:t>
      </w:r>
      <w:r>
        <w:t>如资产转让，拍卖</w:t>
      </w:r>
    </w:p>
    <w:p w14:paraId="46E47D4B" w14:textId="01873E05" w:rsidR="002E4432" w:rsidRDefault="002E4432" w:rsidP="00DB6A3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清算所在交易中所起的作用</w:t>
      </w:r>
    </w:p>
    <w:p w14:paraId="3C62F6F8" w14:textId="17AB054E" w:rsidR="00DB6A39" w:rsidRDefault="00DB6A39" w:rsidP="00DB6A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监管</w:t>
      </w:r>
      <w:r>
        <w:t>作用，沉淀资金在</w:t>
      </w:r>
      <w:r>
        <w:rPr>
          <w:rFonts w:hint="eastAsia"/>
        </w:rPr>
        <w:t>清算所</w:t>
      </w:r>
      <w:r>
        <w:t>，清算业务，不是</w:t>
      </w:r>
      <w:r>
        <w:rPr>
          <w:rFonts w:hint="eastAsia"/>
        </w:rPr>
        <w:t>中央</w:t>
      </w:r>
      <w:r>
        <w:t>对手方清算的</w:t>
      </w:r>
      <w:r>
        <w:rPr>
          <w:rFonts w:hint="eastAsia"/>
        </w:rPr>
        <w:t>方式</w:t>
      </w:r>
    </w:p>
    <w:p w14:paraId="3D0045B2" w14:textId="65736B3D" w:rsidR="00DB6A39" w:rsidRDefault="00DB6A39" w:rsidP="00DB6A3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品种含义</w:t>
      </w:r>
    </w:p>
    <w:p w14:paraId="5254B0DE" w14:textId="5249ADDB" w:rsidR="00520072" w:rsidRDefault="00DB6A39" w:rsidP="005200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</w:t>
      </w:r>
      <w:r>
        <w:t>黄金，白银，</w:t>
      </w:r>
      <w:r>
        <w:rPr>
          <w:rFonts w:hint="eastAsia"/>
        </w:rPr>
        <w:t>石油</w:t>
      </w:r>
    </w:p>
    <w:p w14:paraId="117A2D33" w14:textId="027F7D16" w:rsidR="00154331" w:rsidRDefault="002361FF" w:rsidP="00154331">
      <w:pPr>
        <w:pStyle w:val="a3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</w:t>
      </w:r>
      <w:r w:rsidR="00520072">
        <w:rPr>
          <w:rFonts w:ascii="宋体" w:hAnsi="宋体" w:hint="eastAsia"/>
          <w:sz w:val="24"/>
        </w:rPr>
        <w:t>监控：预警，不允许价格偏离外盘过多</w:t>
      </w:r>
    </w:p>
    <w:p w14:paraId="6FEE556F" w14:textId="05CE55F0" w:rsidR="00520072" w:rsidRDefault="00520072" w:rsidP="00154331">
      <w:pPr>
        <w:pStyle w:val="a3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发售</w:t>
      </w:r>
      <w:r w:rsidR="00AE4963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风险更大，无法控盘；</w:t>
      </w:r>
    </w:p>
    <w:p w14:paraId="57C383CB" w14:textId="5A69DC43" w:rsidR="00AE4963" w:rsidRPr="00AE4963" w:rsidRDefault="00AE4963" w:rsidP="00154331">
      <w:pPr>
        <w:pStyle w:val="a3"/>
        <w:spacing w:line="360" w:lineRule="auto"/>
        <w:ind w:firstLineChars="0" w:firstLine="0"/>
        <w:rPr>
          <w:rFonts w:ascii="宋体" w:hAnsi="宋体" w:hint="eastAsia"/>
          <w:sz w:val="24"/>
        </w:rPr>
      </w:pPr>
    </w:p>
    <w:sectPr w:rsidR="00AE4963" w:rsidRPr="00AE4963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AC791" w14:textId="77777777" w:rsidR="002C4A9B" w:rsidRDefault="002C4A9B" w:rsidP="00D3516A">
      <w:r>
        <w:separator/>
      </w:r>
    </w:p>
  </w:endnote>
  <w:endnote w:type="continuationSeparator" w:id="0">
    <w:p w14:paraId="4EFEA413" w14:textId="77777777" w:rsidR="002C4A9B" w:rsidRDefault="002C4A9B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20DA2" w14:textId="6803818D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AE4963" w:rsidRPr="00AE4963">
      <w:rPr>
        <w:noProof/>
        <w:lang w:val="zh-CN" w:eastAsia="zh-CN"/>
      </w:rPr>
      <w:t>1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AF3B" w14:textId="77777777" w:rsidR="002C4A9B" w:rsidRDefault="002C4A9B" w:rsidP="00D3516A">
      <w:r>
        <w:separator/>
      </w:r>
    </w:p>
  </w:footnote>
  <w:footnote w:type="continuationSeparator" w:id="0">
    <w:p w14:paraId="76EA2A87" w14:textId="77777777" w:rsidR="002C4A9B" w:rsidRDefault="002C4A9B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20D8270D"/>
    <w:multiLevelType w:val="hybridMultilevel"/>
    <w:tmpl w:val="F26A9200"/>
    <w:lvl w:ilvl="0" w:tplc="4366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4"/>
  </w:num>
  <w:num w:numId="13">
    <w:abstractNumId w:val="0"/>
  </w:num>
  <w:num w:numId="14">
    <w:abstractNumId w:val="21"/>
  </w:num>
  <w:num w:numId="15">
    <w:abstractNumId w:val="24"/>
  </w:num>
  <w:num w:numId="16">
    <w:abstractNumId w:val="16"/>
  </w:num>
  <w:num w:numId="17">
    <w:abstractNumId w:val="28"/>
  </w:num>
  <w:num w:numId="18">
    <w:abstractNumId w:val="31"/>
  </w:num>
  <w:num w:numId="19">
    <w:abstractNumId w:val="13"/>
  </w:num>
  <w:num w:numId="20">
    <w:abstractNumId w:val="12"/>
  </w:num>
  <w:num w:numId="21">
    <w:abstractNumId w:val="1"/>
  </w:num>
  <w:num w:numId="22">
    <w:abstractNumId w:val="17"/>
  </w:num>
  <w:num w:numId="23">
    <w:abstractNumId w:val="22"/>
  </w:num>
  <w:num w:numId="24">
    <w:abstractNumId w:val="34"/>
  </w:num>
  <w:num w:numId="25">
    <w:abstractNumId w:val="14"/>
  </w:num>
  <w:num w:numId="26">
    <w:abstractNumId w:val="5"/>
  </w:num>
  <w:num w:numId="27">
    <w:abstractNumId w:val="23"/>
  </w:num>
  <w:num w:numId="28">
    <w:abstractNumId w:val="19"/>
  </w:num>
  <w:num w:numId="29">
    <w:abstractNumId w:val="32"/>
  </w:num>
  <w:num w:numId="30">
    <w:abstractNumId w:val="9"/>
  </w:num>
  <w:num w:numId="31">
    <w:abstractNumId w:val="27"/>
  </w:num>
  <w:num w:numId="32">
    <w:abstractNumId w:val="10"/>
  </w:num>
  <w:num w:numId="33">
    <w:abstractNumId w:val="30"/>
  </w:num>
  <w:num w:numId="34">
    <w:abstractNumId w:val="6"/>
  </w:num>
  <w:num w:numId="35">
    <w:abstractNumId w:val="33"/>
  </w:num>
  <w:num w:numId="36">
    <w:abstractNumId w:val="35"/>
  </w:num>
  <w:num w:numId="37">
    <w:abstractNumId w:val="11"/>
  </w:num>
  <w:num w:numId="38">
    <w:abstractNumId w:val="3"/>
  </w:num>
  <w:num w:numId="39">
    <w:abstractNumId w:val="36"/>
  </w:num>
  <w:num w:numId="40">
    <w:abstractNumId w:val="2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2162A"/>
    <w:rsid w:val="0002619E"/>
    <w:rsid w:val="00040962"/>
    <w:rsid w:val="00044DC7"/>
    <w:rsid w:val="00054937"/>
    <w:rsid w:val="00064D00"/>
    <w:rsid w:val="00064E93"/>
    <w:rsid w:val="0007025C"/>
    <w:rsid w:val="00091F01"/>
    <w:rsid w:val="0009224C"/>
    <w:rsid w:val="000D4874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361FF"/>
    <w:rsid w:val="002536FD"/>
    <w:rsid w:val="0029592A"/>
    <w:rsid w:val="00296C9D"/>
    <w:rsid w:val="002A68B9"/>
    <w:rsid w:val="002B05C1"/>
    <w:rsid w:val="002B12D3"/>
    <w:rsid w:val="002B778D"/>
    <w:rsid w:val="002C2DCA"/>
    <w:rsid w:val="002C4A9B"/>
    <w:rsid w:val="002D02E8"/>
    <w:rsid w:val="002D1172"/>
    <w:rsid w:val="002D2E14"/>
    <w:rsid w:val="002D7929"/>
    <w:rsid w:val="002E08AD"/>
    <w:rsid w:val="002E4432"/>
    <w:rsid w:val="00307ABE"/>
    <w:rsid w:val="003102B6"/>
    <w:rsid w:val="00342F27"/>
    <w:rsid w:val="0034461F"/>
    <w:rsid w:val="00345109"/>
    <w:rsid w:val="00346CF8"/>
    <w:rsid w:val="0034726B"/>
    <w:rsid w:val="00352A03"/>
    <w:rsid w:val="00395018"/>
    <w:rsid w:val="003B3884"/>
    <w:rsid w:val="003C08DC"/>
    <w:rsid w:val="003C3D15"/>
    <w:rsid w:val="003D0BCA"/>
    <w:rsid w:val="003D300D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C71A9"/>
    <w:rsid w:val="004D08A9"/>
    <w:rsid w:val="00500DCF"/>
    <w:rsid w:val="00520072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52151"/>
    <w:rsid w:val="00696B16"/>
    <w:rsid w:val="006B5059"/>
    <w:rsid w:val="006D0E46"/>
    <w:rsid w:val="006E5F56"/>
    <w:rsid w:val="007347F2"/>
    <w:rsid w:val="00743774"/>
    <w:rsid w:val="00761A69"/>
    <w:rsid w:val="007768E2"/>
    <w:rsid w:val="007803F3"/>
    <w:rsid w:val="007920CE"/>
    <w:rsid w:val="007A226C"/>
    <w:rsid w:val="007A44AD"/>
    <w:rsid w:val="007B56C4"/>
    <w:rsid w:val="007D608F"/>
    <w:rsid w:val="007D6646"/>
    <w:rsid w:val="007E5921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207C9"/>
    <w:rsid w:val="00A25757"/>
    <w:rsid w:val="00A45B3A"/>
    <w:rsid w:val="00AC49CE"/>
    <w:rsid w:val="00AD11C9"/>
    <w:rsid w:val="00AD7FF8"/>
    <w:rsid w:val="00AE4963"/>
    <w:rsid w:val="00AF6EFA"/>
    <w:rsid w:val="00B2158F"/>
    <w:rsid w:val="00B3388C"/>
    <w:rsid w:val="00B42DB4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67DF"/>
    <w:rsid w:val="00D033D9"/>
    <w:rsid w:val="00D3516A"/>
    <w:rsid w:val="00D45523"/>
    <w:rsid w:val="00D54420"/>
    <w:rsid w:val="00D86EA8"/>
    <w:rsid w:val="00D90A77"/>
    <w:rsid w:val="00DA249E"/>
    <w:rsid w:val="00DA5CF9"/>
    <w:rsid w:val="00DA7809"/>
    <w:rsid w:val="00DB6A3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 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 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 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 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 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 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45BFA-F96A-4899-AFE1-E5006CDC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ada guo</cp:lastModifiedBy>
  <cp:revision>5</cp:revision>
  <dcterms:created xsi:type="dcterms:W3CDTF">2017-09-14T05:24:00Z</dcterms:created>
  <dcterms:modified xsi:type="dcterms:W3CDTF">2017-09-18T05:32:00Z</dcterms:modified>
</cp:coreProperties>
</file>