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715D5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:30</w:t>
            </w:r>
            <w:r w:rsidR="00715D5A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715D5A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40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</w:t>
            </w:r>
            <w:r w:rsidR="00715D5A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牌北</w:t>
            </w:r>
            <w:r w:rsidR="00473FC7" w:rsidRPr="003668C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603B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715D5A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林启荣</w:t>
            </w:r>
            <w:r w:rsidR="00715D5A">
              <w:rPr>
                <w:rFonts w:ascii="微软雅黑" w:eastAsia="微软雅黑" w:hAnsi="微软雅黑"/>
                <w:szCs w:val="18"/>
                <w:lang w:val="en-GB" w:eastAsia="zh-CN"/>
              </w:rPr>
              <w:t>、汪秀梅、邹晓慧、卢瑾、胡艺友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715D5A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林启荣</w:t>
            </w:r>
            <w:r w:rsidR="00715D5A">
              <w:rPr>
                <w:rFonts w:ascii="微软雅黑" w:eastAsia="微软雅黑" w:hAnsi="微软雅黑"/>
                <w:szCs w:val="18"/>
                <w:lang w:val="en-GB" w:eastAsia="zh-CN"/>
              </w:rPr>
              <w:t>、汪秀梅、邹晓慧、卢瑾、</w:t>
            </w:r>
            <w:r w:rsidR="00715D5A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李鑫</w:t>
            </w:r>
            <w:r w:rsidR="00715D5A">
              <w:rPr>
                <w:rFonts w:ascii="微软雅黑" w:eastAsia="微软雅黑" w:hAnsi="微软雅黑"/>
                <w:szCs w:val="18"/>
                <w:lang w:val="en-GB" w:eastAsia="zh-CN"/>
              </w:rPr>
              <w:t>、胡艺友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715D5A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  <w:r w:rsidR="00715D5A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、</w:t>
            </w:r>
            <w:r w:rsidR="00715D5A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许学平</w:t>
            </w:r>
            <w:r w:rsidR="00715D5A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、黄裔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715D5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客</w:t>
            </w:r>
            <w:proofErr w:type="gramStart"/>
            <w:r w:rsidR="00715D5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服</w:t>
            </w:r>
            <w:r w:rsidR="00715D5A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需求</w:t>
            </w:r>
            <w:proofErr w:type="gramEnd"/>
            <w:r w:rsidR="00715D5A"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细化及订单全流程沟通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="00715D5A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细化</w:t>
            </w:r>
            <w:r w:rsidR="00715D5A"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  <w:t>客</w:t>
            </w:r>
            <w:proofErr w:type="gramStart"/>
            <w:r w:rsidR="00715D5A"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  <w:t>服部门</w:t>
            </w:r>
            <w:proofErr w:type="gramEnd"/>
            <w:r w:rsidR="00715D5A"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  <w:t>需求并对订单全流程方案进行沟通</w:t>
            </w:r>
          </w:p>
          <w:p w:rsidR="005C69F5" w:rsidRPr="005C69F5" w:rsidRDefault="005C69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3A3A40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3A3A40" w:rsidRDefault="00E652FB" w:rsidP="007A4BC9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 w:rsidRPr="003A3A4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众创汇分析</w:t>
            </w:r>
            <w:r w:rsidRPr="003A3A4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支持项目未来还会</w:t>
            </w:r>
            <w:r w:rsidR="003A3A40" w:rsidRPr="003A3A4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</w:t>
            </w:r>
            <w:r w:rsidR="003A3A40" w:rsidRPr="003A3A4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用户画像的基础之上增加用户群画像、产品画像、</w:t>
            </w:r>
            <w:r w:rsidR="003A3A40" w:rsidRPr="003A3A4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电商</w:t>
            </w:r>
            <w:r w:rsidR="003A3A40" w:rsidRPr="003A3A4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产品评论信息</w:t>
            </w:r>
            <w:r w:rsidR="003A3A40" w:rsidRPr="003A3A4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3A3A40" w:rsidRPr="003A3A4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新闻</w:t>
            </w:r>
          </w:p>
        </w:tc>
      </w:tr>
      <w:tr w:rsidR="009C006D" w:rsidRPr="00E14B1C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3A3A40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3A3A40" w:rsidRDefault="003A3A40" w:rsidP="00E14B1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众创汇</w:t>
            </w:r>
            <w:r w:rsidR="00E14B1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分析</w:t>
            </w:r>
            <w:r w:rsidR="00E14B1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支持系统的数据未来可以根据业务部门的需求</w:t>
            </w:r>
            <w:r w:rsidR="00E14B1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对外</w:t>
            </w:r>
            <w:r w:rsidR="00E14B1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开放</w:t>
            </w:r>
            <w:r w:rsidR="00E14B1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 w:rsidR="00E14B1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结果接</w:t>
            </w:r>
            <w:r w:rsidR="00E14B1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口</w:t>
            </w:r>
            <w:r w:rsidR="00E14B1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，给其他业务系统使用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3A3A40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3A3A40" w:rsidRDefault="00E14B1C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需求】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部门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希望在小能客服系统查询某用户信息时，能够同时将此用户的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ID传输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给众创汇分析支持系统，进行数据的展现。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---此方案在技术上是可行的，将来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可以让客服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系统与众创汇分析支持项目进行对接</w:t>
            </w:r>
          </w:p>
        </w:tc>
      </w:tr>
      <w:tr w:rsidR="007A4BC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A4BC9" w:rsidRPr="003A3A40" w:rsidRDefault="007A4BC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A4BC9" w:rsidRDefault="007A4BC9" w:rsidP="007A4BC9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根据客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部门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业务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逻辑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用户进行筛选分类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并对外提供接口</w:t>
            </w:r>
          </w:p>
        </w:tc>
      </w:tr>
      <w:tr w:rsidR="007A4BC9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A4BC9" w:rsidRPr="003A3A40" w:rsidRDefault="007A4BC9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A4BC9" w:rsidRDefault="007A4BC9" w:rsidP="007A4BC9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等级可以根据业务部门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提供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的逻辑进行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划分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3A3A40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Default="00E14B1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全流程实时显示的需求需要与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供应链全流程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实时到人项目经理王怡强沟通，了解当前项目进展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及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可以进行实时显示的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节点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内容。</w:t>
            </w:r>
          </w:p>
          <w:p w:rsidR="00E14B1C" w:rsidRPr="003A3A40" w:rsidRDefault="00E14B1C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由于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王怡强现在请假，后期需要等其上班后进行沟通。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bookmarkStart w:id="0" w:name="_GoBack" w:colFirst="0" w:colLast="5"/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A24164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A24164" w:rsidRDefault="00E14B1C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订单</w:t>
            </w:r>
            <w:r>
              <w:rPr>
                <w:rFonts w:ascii="微软雅黑" w:eastAsia="微软雅黑" w:hAnsi="微软雅黑"/>
                <w:lang w:eastAsia="zh-CN"/>
              </w:rPr>
              <w:t>全流程实时显示方案沟通</w:t>
            </w:r>
          </w:p>
        </w:tc>
        <w:tc>
          <w:tcPr>
            <w:tcW w:w="1970" w:type="pct"/>
            <w:vAlign w:val="center"/>
          </w:tcPr>
          <w:p w:rsidR="006269EB" w:rsidRPr="00E14B1C" w:rsidRDefault="00E14B1C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供应链全流程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实时到人项目经理王怡强沟通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了解其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项目进展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及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可以进行实时显示的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节点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内容</w:t>
            </w:r>
            <w:r w:rsidR="007A4BC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7A4BC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并提出众创汇业务部门关于订单显示的需求</w:t>
            </w:r>
          </w:p>
        </w:tc>
        <w:tc>
          <w:tcPr>
            <w:tcW w:w="703" w:type="pct"/>
            <w:vAlign w:val="center"/>
          </w:tcPr>
          <w:p w:rsidR="004371FD" w:rsidRPr="007A4BC9" w:rsidRDefault="007A4BC9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林启荣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、卢瑾、王怡强</w:t>
            </w:r>
          </w:p>
        </w:tc>
        <w:tc>
          <w:tcPr>
            <w:tcW w:w="635" w:type="pct"/>
            <w:vAlign w:val="center"/>
          </w:tcPr>
          <w:p w:rsidR="006269EB" w:rsidRPr="00A24164" w:rsidRDefault="007A4BC9" w:rsidP="007A4BC9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>
              <w:rPr>
                <w:rFonts w:ascii="微软雅黑" w:eastAsia="微软雅黑" w:hAnsi="微软雅黑" w:hint="eastAsia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lang w:eastAsia="zh-CN"/>
              </w:rPr>
              <w:t>22</w:t>
            </w:r>
            <w:r w:rsidR="005C69F5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A24164" w:rsidRDefault="007A4BC9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王怡强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时间待定</w:t>
            </w:r>
          </w:p>
        </w:tc>
      </w:tr>
      <w:bookmarkEnd w:id="0"/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A24164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A24164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A24164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5876AF" w:rsidRPr="00A24164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D40E6E" w:rsidRPr="00A24164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A24164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5C69F5">
        <w:trPr>
          <w:trHeight w:val="407"/>
        </w:trPr>
        <w:tc>
          <w:tcPr>
            <w:tcW w:w="285" w:type="pct"/>
            <w:vAlign w:val="center"/>
          </w:tcPr>
          <w:p w:rsidR="00EE5DFD" w:rsidRPr="00A24164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A24164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EE5DFD" w:rsidRPr="00A24164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EE5DFD" w:rsidRPr="00A24164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EE5DFD" w:rsidRPr="00A24164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5C69F5">
        <w:trPr>
          <w:trHeight w:val="407"/>
        </w:trPr>
        <w:tc>
          <w:tcPr>
            <w:tcW w:w="285" w:type="pct"/>
            <w:vAlign w:val="center"/>
          </w:tcPr>
          <w:p w:rsidR="001A5332" w:rsidRPr="00A24164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A5332" w:rsidRPr="00A24164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1A5332" w:rsidRPr="00A24164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A5332" w:rsidRPr="00A24164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1A5332" w:rsidRPr="00A24164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1A5332" w:rsidRPr="00A24164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lastRenderedPageBreak/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D7" w:rsidRDefault="00EB55D7">
      <w:r>
        <w:separator/>
      </w:r>
    </w:p>
  </w:endnote>
  <w:endnote w:type="continuationSeparator" w:id="0">
    <w:p w:rsidR="00EB55D7" w:rsidRDefault="00EB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D7" w:rsidRDefault="00EB55D7">
      <w:r>
        <w:separator/>
      </w:r>
    </w:p>
  </w:footnote>
  <w:footnote w:type="continuationSeparator" w:id="0">
    <w:p w:rsidR="00EB55D7" w:rsidRDefault="00EB5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7A4BC9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7A4BC9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0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5D5A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BC9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B1C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2FB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55D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D9A3E-1361-4369-A294-7A64ABA5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142</Words>
  <Characters>815</Characters>
  <Application>Microsoft Office Word</Application>
  <DocSecurity>0</DocSecurity>
  <Lines>6</Lines>
  <Paragraphs>1</Paragraphs>
  <ScaleCrop>false</ScaleCrop>
  <Company>WwW.YlmF.CoM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22</cp:revision>
  <cp:lastPrinted>2010-05-07T11:04:00Z</cp:lastPrinted>
  <dcterms:created xsi:type="dcterms:W3CDTF">2013-10-15T02:47:00Z</dcterms:created>
  <dcterms:modified xsi:type="dcterms:W3CDTF">2016-06-14T06:17:00Z</dcterms:modified>
</cp:coreProperties>
</file>