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Pedagogical Slide Design in Higher Education: Cognitive Architecture, Visual Aesthetics, Academic Integrity, and Generative AI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Instructional slideware serves as a foundational cognitive interface in the contemporary higher education lecture environment. Despite decades of ubiquity, conventional slide design across university curricula regularly impedes student learning by contravening basic principles of human cognitive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Instructors routinely populate slides with dense outlines, transcribe textbook passages into bulleted hierarchies, and narrate on-screen text verbatim, inadvertently triggering severe cognitive overload and inhibiting schema automation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evidence-based approach to instructional slide engineering demands the synthesis of four interdependent disciplines: the cognitive mechanics of human multimedia processing, visual ergonomics and universal accessibility standards, the statutory frameworks of educational copyright and academic integrity, and the ethical governance of generative artificial intelligence workflows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Architecture and Instructional Slide Content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Load Theory and the Architecture of Working Memory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instructional efficacy of a presentation slide is bounded by the biological limitations of the human brain. Cognitive Load Theory (CLT), pioneered by John Sweller and expanded by instructional researchers, posits that human cognitive architecture consists of a strictly limited working memory and an effectively infinite long-term memory that stores structured knowledge units termed schemas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Working memory can process only a small number of novel information elements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educational settings, total cognitive load comprises three additive dimensions: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74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5746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Intrinsic cognitive load is determined by the inherent structural complexity of the disciplinary content and the degree of element interactivity that students must process concurrently to achieve comprehension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intrinsic load cannot be eliminated without oversimplifying the curriculum, it can be scaffolded and managed through careful instructional pacing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Extraneous cognitive load represents the unnecessary mental processing imposed by flawed instructional message design, confusing layouts, or redundant presentations of verbal information; this load wastes finite cognitive bandwidth without facilitating learning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Germane processing refers to the mental effort devoted directly to the construction, elaboration, and automation of cognitive schemas within long-term memory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primary goal of instructional slide design is to systematically suppress extraneous cognitive load, thereby preserving working memory capacity for germane processing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on CLT, Richard Mayer’s Cognitive Theory of Multimedia Learning (CTML) details how the cognitive system handles dual sensory inputs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CTML incorporates Paivio’s dual-coding theory and Baddeley’s working memory model, operating on three core assumptions: the dual-channel assumption, which posits that humans possess distinct processing channels for visual/pictorial representations and auditory/verbal representations; the limited-capacity assumption, which establishes that each channel can process only a restricted volume of information at any given moment; and the active-processing assumption, which maintains that deep comprehension requires learners to actively select relevant information, organize it into coherent internal structures, and integrate those structures with existing long-term schemas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Redundancy Trap and Cognitive Channel Competition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design failure in higher education is the bullet-pointed slide accompanied by instructor speech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Presenters often project text-dense slides while reading the words aloud, operating under the mistaken belief that auditory reinforcement of written text cements understanding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CTML reveals that this practice triggers the redundancy effect and the split-attention effect, substantially undermining student retention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Written text on a slide is not processed as pure pictorial data; it is apprehended by the visual system and immediately translated into phonological code within the verbal processing loop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an instructor delivers spoken narration that mirrors or closely paraphrases the projected text, the auditory and phonological channels become overwhelmed by competing linguistic streams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student must simultaneously read, listen, and mentally arbitrate between two slightly asynchronous verbal inputs, diverting precious working memory resources away from synthesizing the underlying scientific or theoretical concepts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research in multimedia learning validates several design heuristics to resolve channel competition: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Modality Principle demonstrates that students comprehend technical explanations much more effectively when graphical evidence is accompanied by spoken auditory narration rather than on-screen written text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Shifting linguistic content to the auditory channel balances the cognitive load across both channels rather than overwhelming the visual 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Coherence Principle requires the systematic elimination of all non-essential content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Irrelevant illustrations, background music, extraneous video loops, and institutional decorative logos consume visual processing capacity and actively distract from core learning objectives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Signaling Principle dictates that visual and typographic cues—such as structural contrast, bolding, directional callouts, and targeted color highlights—must guide the learner's visual gaze directly toward the focal elements of a complex diagram or dataset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Contiguity Principle requires that explanatory labels, definitions, and annotations be placed in direct physical proximity to the graphical elements they explain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Isolating explanations in disjointed legends or distant bullet lists forces students to engage in extraneous visual scanning, dividing their spatial attention and degrading comprehension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Assertion-Evidence Slide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limitations of default topic-subtopic bulleted formats, Michael Alley, Joanna Garner, and their colleagues developed the Assertion-Evidence (A-E) framework for technical and academic presentations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conventional slide format relies on a topical noun phrase heading (such as "Mitotic Spindle Dynamics" or "Keynesian Multipliers") followed by an indented list of fragmented bullet 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layout acts primarily as an external teleprompter for the instructor rather than a visual aid for the learner, prompting passive transcription and disengagement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Assertion-Evidence model completely restructures the visual surface into a two-part instructional argument: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slide is capped with a concise Assertion Headline consisting of a complete, grammatically sound declarative sentence, spanning no more than two lines of text (typically 12 to 20 words)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headline articulates the overarching finding, structural claim, or conceptual conclusion of the slide, providing immediate cognitive scaffolding for the student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entire body of the slide is reserved exclusively for Visual Evidence that explains, substantiates, or demonstrates the headline assertion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Visual evidence includes high-resolution schematics, empirical plots, computational models, structural cross-sections, or primary text excerpts, all augmented with spatially contiguous callout annotations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Bulleted lists are omitted entirely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empirical studies in university classrooms demonstrate that cohorts taught using the Assertion-Evidence structure achieve statistically superior scores on delayed recall and conceptual comprehension exams compared to cohorts instructed with traditional topic-subtopic slides covering identical material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Qualitative evaluations indicate that students exposed to Assertion-Evidence design report lower perceived extraneous cognitive load, develop fewer conceptual misconceptions, and exhibit greater engagement during lectures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requirement to compose a complete declarative sentence forces educators to distill the core message of each slide, preventing unstructured digressions and aligning classroom delivery with backward curricular design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Topic-Subtopic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Presentation Zen Approach (Reynolds)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Assertion-Evidence Framework (Alley &amp; Garner)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Headline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Fragmentary topic phrase or category label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Minimalist heading, question, or evocative thematic phrase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Succinct, complete declarative sentence stating the core claim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Body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multi-indented bulleted text lists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Full-bleed metaphorical imagery, evocative photos, minimal text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Methodical visual evidence (graphs, schematics, direct data annotations)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Cognitive Channel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Overloads visual and verbal processing channels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Prioritizes affective engagement and high-level visual metaphors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Coordinates auditory narration with structured spatial visuals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Extraneous Load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extraneous load via split-attention and redundancy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extraneous load; risks conceptual ambiguity if narration falters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extraneous load; systematically optimizes germane schema formation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Higher-Ed Application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announcements, non-instructional logistics.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Keynote addresses, public symposia, non-technical orientations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STEM disciplines, clinical medicine, empirical social sciences, technical humanities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Aesthetics, Visual Ergonomics, and Universal Accessibility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Hierarchy, Signal-to-Noise Ratio, and Spatial Economy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aesthetics in higher education slide design must not be viewed as decorative styling; rather, design choices serve as an architectural filter for information processing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Edward Tufte and Garr Reynolds emphasize maximizing the signal-to-noise ratio across instructional media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presentation slides, "signal" encompasses the substantive instructional content—the data points, conceptual relations, and structural labels essential for learning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"Noise" consists of decorative backgrounds, extraneous icons, heavy borders, drop shadows, non-functional animations, and persistent institutional branding on every slide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disciplined visual hierarchy establishes an intuitive path for the student's visual gaze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varying scale, luminance, weight, and position, an instructor can guide student attention to the primary assertion, then to the core visual mechanism, and finally to supporting contextual annotations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deliberate use of negative space (empty or white space) prevents cognitive crowding, visually isolates separate concepts, and allows the eye to rest, which is essential for students with learning differences or attentional processing difficulties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Rather than filling every quadrant of the 16:9 canvas, instructors should view empty space as an active design choice that highlights the instructional signal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Typographic Hierarchy for Large-Scale Instructional Display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typography functions in fundamentally different environments than printed texts or desktop monitors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Slides must remain clearly legible from the back row of an auditorium as well as on mobile screens used in remote viewing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Instructors should select high-legibility sans-serif typefaces (e.g., Atkinson Hyperlegible, Arial, Roboto, Calibri) that feature open counters, uniform stroke weights, and clear distinctions between easily confused characters, such as uppercase I, lowercase l, and the numeral 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Fine serif typefaces with delicate hairlines should be avoided for body content, as their thin strokes tend to degrade under low-resolution projection or high ambient glare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Typographic Scale Recommendations:</w:t>
        <w:br w:type="textWrapping"/>
        <w:t xml:space="preserve">* Assertion Headlines: 32 pt to 40 pt bold, set in sentence case.</w:t>
        <w:br w:type="textWrapping"/>
        <w:t xml:space="preserve">* Diagrammatic Labels &amp; Primary Callouts: 20 pt to 24 pt medium or regular weight.</w:t>
        <w:br w:type="textWrapping"/>
        <w:t xml:space="preserve">* Axis Legends, Secondary Captions, &amp; Source Attributions: 14 pt to 16 pt minimum.</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Instructors must establish a consistent typographic hierarchy: assertion headlines should be set in 32 pt to 40 pt bold sentence case, diagrammatic labels and primary callouts in 20 pt to 24 pt medium or regular weight, and axis legends, secondary captions, and source attributions in 14 pt to 16 pt minimum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Using text below 14 pt risks making the content unreadable to students seated past the middle rows of a standard classroom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Micro-typographic spacing requires equal care: line spacing (leading) must be kept between 1.3 and 1.5 times the font size to prevent overlapping ascenders and descenders during rapid reading sweeps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Text elements must be left-aligned rather than fully justified, as justification introduces uneven word spacing ("rivers of white") that disrupts ocular tracking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Photometric Standards and WCAG Compliance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decks uploaded to learning management systems or projected in classrooms must adhere to the Web Content Accessibility Guidelines (WCAG 2.2), published by the World Wide Web Consortium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Central to these standards is the mathematical contrast ratio: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005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6000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11783" cy="20215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1783" cy="20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relative luminance of the lighter color and </w:t>
      </w:r>
      <w:r w:rsidDel="00000000" w:rsidR="00000000" w:rsidRPr="00000000">
        <w:rPr>
          <w:rFonts w:ascii="Google Sans" w:cs="Google Sans" w:eastAsia="Google Sans" w:hAnsi="Google Sans"/>
          <w:color w:val="1f1f1f"/>
        </w:rPr>
        <w:drawing>
          <wp:inline distB="19050" distT="19050" distL="19050" distR="19050">
            <wp:extent cx="211783" cy="20215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11783" cy="20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relative luminance of the darker color, scaled on a normalized continuum from 0.0 for pure black to 1.0 for pure white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WCAG 2.2 Level AA compliance, text of standard scale must maintain a contrast ratio of at least 4.5:1 against its background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Large-scale text—defined as 18 pt regular or 14 pt bold and above—must meet a minimum ratio of 3.0:1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university lecture halls with high ambient light or low-contrast projectors, instructors should aim for Level AAA standards, targeting a 7.0:1 ratio for standard text and 4.5:1 for large text to ensure legibility across all seating arrangements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Non-text visual elements, including critical data lines, graph axes, flow chart boundaries, and icons, require a minimum contrast ratio of 3.0:1 against adjacent colors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designers must avoid relying solely on color to communicate conceptual distinctions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Approximately 8% of men and 0.5% of women exhibit forms of color vision deficiency, predominantly protanopia (red-weak) and deuteranopia (green-weak), alongside less common conditions like tritanopia (blue-yellow confusion)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comparing datasets, tracing metabolic cascades, or illustrating engineering pathways, color coding must be paired with redundant cues—such as varied line textures (dashed vs. solid), distinct geometric node shapes, or explicit text callouts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Dark text on a clean, light background (positive polarity) generally promotes better pupillary constriction and optical acuity in brightly lit classrooms, whereas light text on a dark background (negative polarity) can cause halation effects for students with uncorrected astigmatism.</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Assistive Technology and Programmatic Reading Sequences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accessibility mandates require that slide files distributed digitally to students be structured for immediate interpretation by screen readers, such as NVDA, JAWS, and VoiceOver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visually organized slide can still present an incoherent experience to a blind or low-vision student if its underlying programmatic structure is disorganized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Instructors should build presentations within native, semantic placeholder templates rather than manually dropping floating text boxes onto a blank slide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Native title and body placeholders preserve the semantic tree (such as &lt;h1&gt; and paragraph hierarchies), allowing assistive software to navigate sections methodically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instructors must verify the programmatic reading order through the presentation software's "Selection Pane"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several software suites, the visual stacking order inverted during manual editing causes screen readers to announce elements from the bottom of the list upward; without manual adjustment, secondary notes or figure attributions may be read before the main assertion headline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instructional image, data plot, and anatomical diagram must include meaningful alternative text (alt-text) embedded in its digital metadata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Alt-text must not simply describe an image's superficial appearance (e.g., "a line chart with three colored paths"); it must articulate the specific pedagogical claim demonstrated by the visual evidence (e.g., "Line graph demonstrating that reaction velocity increases linearly with substrate concentration until plateauing at V-max due to active site saturation")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Conversely, purely ornamental elements—such as geometric background dividers or institutional logos—must be tagged explicitly as decorative so screen readers can skip them cleanly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Accessibility &amp; Aesthetic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Standard (WCAG 2.2 / Universal Design)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 in Higher Education Practice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Corrective Implementation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Luminance Contrast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4.5:1 for standard text; 3.0:1 for large text (</w:t>
            </w:r>
            <w:r w:rsidDel="00000000" w:rsidR="00000000" w:rsidRPr="00000000">
              <w:rPr>
                <w:rFonts w:ascii="Google Sans" w:cs="Google Sans" w:eastAsia="Google Sans" w:hAnsi="Google Sans"/>
                <w:color w:val="1f1f1f"/>
              </w:rPr>
              <w:drawing>
                <wp:inline distB="19050" distT="19050" distL="19050" distR="19050">
                  <wp:extent cx="518815" cy="172938"/>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8815" cy="172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336352" cy="17298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36352" cy="172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bold)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gray, light blue, or pastel text set against white backgrounds, or dark text on complex photo fills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all foreground-background color pairs using automated algorithmic contrast checkers prior to delivery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Typographic Sizing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Scaled for distance viewing: </w:t>
            </w:r>
            <w:r w:rsidDel="00000000" w:rsidR="00000000" w:rsidRPr="00000000">
              <w:rPr>
                <w:rFonts w:ascii="Google Sans" w:cs="Google Sans" w:eastAsia="Google Sans" w:hAnsi="Google Sans"/>
                <w:color w:val="1f1f1f"/>
              </w:rPr>
              <w:drawing>
                <wp:inline distB="19050" distT="19050" distL="19050" distR="19050">
                  <wp:extent cx="759172" cy="17081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59172" cy="170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titles; </w:t>
            </w:r>
            <w:r w:rsidDel="00000000" w:rsidR="00000000" w:rsidRPr="00000000">
              <w:rPr>
                <w:rFonts w:ascii="Google Sans" w:cs="Google Sans" w:eastAsia="Google Sans" w:hAnsi="Google Sans"/>
                <w:color w:val="1f1f1f"/>
              </w:rPr>
              <w:drawing>
                <wp:inline distB="19050" distT="19050" distL="19050" distR="19050">
                  <wp:extent cx="518815" cy="172938"/>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8815" cy="172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body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Shrinking body text down to </w:t>
            </w:r>
            <w:r w:rsidDel="00000000" w:rsidR="00000000" w:rsidRPr="00000000">
              <w:rPr>
                <w:rFonts w:ascii="Google Sans" w:cs="Google Sans" w:eastAsia="Google Sans" w:hAnsi="Google Sans"/>
                <w:color w:val="1f1f1f"/>
              </w:rPr>
              <w:drawing>
                <wp:inline distB="19050" distT="19050" distL="19050" distR="19050">
                  <wp:extent cx="759172" cy="170814"/>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59172" cy="170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crowd dense paragraphs onto a single slide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 Assertion-Evidence layout; partition complex arguments across multiple sequentially revealed slides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Color Independence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must never serve as the unique visual carrier of meaning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experimental groups in charts solely by red and green line fills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 multimodal signaling: pair colors with varied line markers, dotted patterns, or direct text labels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Programmatic Reading Sequence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Assistive software must navigate elements in logical pedagogical order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Floating text boxes read in random order based on creation timestamps rather than visual hierarchy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and reorder objects within the native Selection Pane, testing navigation flow with keyboard tabbing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Alternative Text Integrity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 alt-text required for all informative visual assets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Omission of alt-text, default file names (e.g., IMG_0042.jpg), or redundant phrases ("image of")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concise alt-text explaining the specific conceptual insight or empirical takeaway shown in the figure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Integrity, Copyright Law, and Fair Use Compliance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Educational Exceptions: Physical Classrooms vs. Digital Dissemination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faculty often assume that any use of third-party creative or scientific material within an educational context is automatically exempt from copyright claims. Under United States copyright statutes—and similar intellectual property regimes internationally—this belief is legally incorrect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law establishes a sharp distinction between face-to-face classroom delivery and digital distribution via learning management systems or public platforms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Face-to-Face Classroom Exception, codified at 17 U.S.C. § 110(1), provides broad protections for synchronous, in-person instruction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Under this provision, instructors and students at non-profit educational institutions may display and perform lawfully acquired copyrighted works—including commercial documentary clips, fine art images, musical compositions, and textbook figures—without prior permission or licensing fees, provided the performance occurs in a physical classroom during regular instruction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moment an instructor digitizes those slides and uploads them to a learning management system (LMS), embeds them in a recorded lecture, or makes them available via public websites, Section 110(1) ceases to apply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distribution is then governed by the TEACH Act (Technology, Education, and Copyright Harmonization Act, 17 U.S.C. § 110(2)) or the broader Doctrine of Fair Use (17 U.S.C. § 107)</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TEACH Act provides a safe harbor for digital distance education, but it imposes strict compliance requirements that university slide sharing rarely satisfies in practice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qualify for TEACH Act safe harbor:</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educational institution must be an accredited, non-profit organization with active, documented copyright policies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transmission must be strictly limited to enrolled students via password-authenticated systems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instructor must incorporate only reasonable and limited portions of dramatic literary or musical works, or displays of works comparable to typical physical classroom presentations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institution must implement technological protection measures (TPMs) that prevent downstream retention, downloading, and external redistribution of the copyrighted material by students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Materials created specifically for the commercial digital educational market (e.g., digital workbooks, textbook publishers' test banks, interactive e-learning modules) cannot be distributed under the TEACH Act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most university LMS platforms permit students to directly download and save presentation decks as PDF or PowerPoint files, institutional slide hosting often bypasses the anti-retention requirements of the TEACH Act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As a result, educational institutions must rely primarily on fair use evaluations or open licensing when sharing course slides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Four-Factor Fair Use Balancing Analysis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instructors include copyrighted figures, diagrams, tables, or artwork in slide decks without express permission, the practice must withstand the Four-Factor Balancing Test established under 17 U.S.C. § 107</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Fair use is not a mechanical checklist or a fixed percentage rule; it is an open-ended legal defense evaluated on a case-by-case basis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Purpose and Character of the Use strongly favors the instructor when the slide is deployed for non-profit educational purposes and, crucially, when the use is </w:t>
      </w:r>
      <w:r w:rsidDel="00000000" w:rsidR="00000000" w:rsidRPr="00000000">
        <w:rPr>
          <w:rFonts w:ascii="Google Sans" w:cs="Google Sans" w:eastAsia="Google Sans" w:hAnsi="Google Sans"/>
          <w:i w:val="1"/>
          <w:iCs w:val="1"/>
          <w:color w:val="1f1f1f"/>
          <w:rtl w:val="0"/>
        </w:rPr>
        <w:t xml:space="preserve">transformative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Transformative use means the slide uses the third-party work for a new expressive purpose—such as empirical critique, comparative historical evaluation, or theoretical deconstruction—rather than merely serving as illustrative decoration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Simply reproducing an artist’s painting to make an introductory slide look attractive is non-transformative, whereas presenting that same painting alongside historical economic data to evaluate Renaissance patron financing represents transformative educational use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Nature of the Copyrighted Work assesses where the original material falls on the creative spectrum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use of factual, empirical, or scientific publications (e.g., geological surveys, medical trial outcomes, macroeconomic graphs) weighs more heavily in favor of fair use than copying highly expressive, creative, or unpublished works (e.g., fiction, poetry, artistic photography, musical compositions)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Amount and Substantiality of the Portion Used requires instructors to extract only what is strictly necessary to achieve their specific pedagogical objective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Extracting a single data figure from a 30-page peer-reviewed journal article favors fair use, whereas lifting entire chapters, complete photographic portfolios, or the expressive core of a work undermines the defense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Instructors must avoid importing complete proprietary image packages from competing educational publishers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the Use Upon the Potential Market evaluates whether the instructor's unauthorized distribution acts as a commercial substitute for the original work or undermines established licensing channels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distributing slides containing extensive proprietary figures discourages students from purchasing assigned textbooks or bypasses accessible educational licensing clearinghouses, Factor Four weighs decisively against fair use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Licensing and the Creative Commons Paradigm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the legal complexities of fair use and the TEACH Act, educators should prioritize open educational resources (OER) published under Creative Commons (CC) licenses or dedicated to the Public Domain (CC0)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Creative Commons licenses provide standardized legal mechanisms for creators to grant educational reuse rights while maintaining appropriate attribution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Instructors must recognize the legal obligations associated with different CC license tiers: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c4c7c5" w:val="clear"/>
          <w:rtl w:val="0"/>
        </w:rPr>
        <w:t xml:space="preserve">Creative Commons Spectrum (Least to Most Restrictive):</w:t>
        <w:br w:type="textWrapping"/>
        <w:t xml:space="preserve">* CC0 (Public Domain): Complete release of all rights worldwide.</w:t>
        <w:br w:type="textWrapping"/>
        <w:t xml:space="preserve">* CC BY (Attribution): Unrestricted reuse, modification, and sharing with attribution.</w:t>
        <w:br w:type="textWrapping"/>
        <w:t xml:space="preserve">* CC BY-SA (ShareAlike): Derivative works must carry an identical license.</w:t>
        <w:br w:type="textWrapping"/>
        <w:t xml:space="preserve">* CC BY-NC (NonCommercial): Reuse restricted to non-commercial educational contexts.</w:t>
        <w:br w:type="textWrapping"/>
        <w:t xml:space="preserve">* CC BY-NC-SA (NonCommercial-ShareAlike): Non-commercial use with matched derivative licensing.</w:t>
        <w:br w:type="textWrapping"/>
        <w:t xml:space="preserve">* CC BY-ND (NoDerivatives): Work must be shared intact; cropping or modifying figures is prohibited.</w:t>
        <w:br w:type="textWrapping"/>
        <w:t xml:space="preserve">* CC BY-NC-ND (NonCommercial-NoDerivatives): Most restrictive; unaltered, non-commercial use only.</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integrating CC-licensed assets into slides, instructors should follow the standardized </w:t>
      </w:r>
      <w:r w:rsidDel="00000000" w:rsidR="00000000" w:rsidRPr="00000000">
        <w:rPr>
          <w:rFonts w:ascii="Google Sans" w:cs="Google Sans" w:eastAsia="Google Sans" w:hAnsi="Google Sans"/>
          <w:b w:val="1"/>
          <w:bCs w:val="1"/>
          <w:color w:val="1f1f1f"/>
          <w:rtl w:val="0"/>
        </w:rPr>
        <w:t xml:space="preserve">TASL</w:t>
      </w:r>
      <w:r w:rsidDel="00000000" w:rsidR="00000000" w:rsidRPr="00000000">
        <w:rPr>
          <w:rFonts w:ascii="Google Sans" w:cs="Google Sans" w:eastAsia="Google Sans" w:hAnsi="Google Sans"/>
          <w:color w:val="1f1f1f"/>
          <w:rtl w:val="0"/>
        </w:rPr>
        <w:t xml:space="preserve"> attribution protocol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The specific title of the creative work.</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The name of the original author or institutional copyright holder, hyperlinked to their primary profile where practical.</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The direct URL or persistent digital identifier where the asset resides.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License</w:t>
      </w:r>
      <w:r w:rsidDel="00000000" w:rsidR="00000000" w:rsidRPr="00000000">
        <w:rPr>
          <w:rFonts w:ascii="Google Sans" w:cs="Google Sans" w:eastAsia="Google Sans" w:hAnsi="Google Sans"/>
          <w:color w:val="1f1f1f"/>
          <w:rtl w:val="0"/>
        </w:rPr>
        <w:t xml:space="preserve">: The specific Creative Commons license, including a direct link to the legal deed (e.g., "licensed under CC BY-SA 4.0")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Pedagogical Modeling of Scholarly Attribution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statutory legal obligations, the transparent attribution of slide content represents a core scholarly responsibility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University faculty regularly enforce academic integrity policies, penalizing students for uncredited borrowing, vague attributions, and plagiarism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Yet, instructors often display uncredited figures, unsourced datasets, and unattributed quotations across their lecture slides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double standard undermines instructional authority and deprives students of visible exemplars of academic scholarship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Hiding source citations in an unreadable 8-point font slide at the end of a 75-slide deck is pedagogically ineffective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Instead, best practices dictate placing an explicit citation directly adjacent to or beneath the visual evidence on the active slide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disciplinary frameworks such as the American Psychological Association (APA 7th Edition), reproduced figures, charts, and diagrams should feature a numbered title, the visual evidence, and a standardized explanatory note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7468"/>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05500" cy="45746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5703"/>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05500" cy="63570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explicitly labeling assets as </w:t>
      </w:r>
      <w:r w:rsidDel="00000000" w:rsidR="00000000" w:rsidRPr="00000000">
        <w:rPr>
          <w:rFonts w:ascii="Google Sans" w:cs="Google Sans" w:eastAsia="Google Sans" w:hAnsi="Google Sans"/>
          <w:i w:val="1"/>
          <w:iCs w:val="1"/>
          <w:color w:val="1f1f1f"/>
          <w:rtl w:val="0"/>
        </w:rPr>
        <w:t xml:space="preserve">"Reprinted with permission,"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"Adapted under Fair Use,"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"Licensed under CC BY 4.0,"</w:t>
      </w:r>
      <w:r w:rsidDel="00000000" w:rsidR="00000000" w:rsidRPr="00000000">
        <w:rPr>
          <w:rFonts w:ascii="Google Sans" w:cs="Google Sans" w:eastAsia="Google Sans" w:hAnsi="Google Sans"/>
          <w:color w:val="1f1f1f"/>
          <w:rtl w:val="0"/>
        </w:rPr>
        <w:t xml:space="preserve"> instructors protect their work legally while modeling proper scholarly attribution for their students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 Ethical Doctrine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Origin / Standard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Scope &amp; Limitations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to Slide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Classroom Exemption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U.S.C. § 110(1)</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In-person, synchronous instruction in accredited non-profit facilities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permissions to project and perform lawfully acquired media live during lecture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 Act Exemption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U.S.C. § 110(2)</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Accredited distance education; password-authenticated LMS delivery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strict technological protections against downloading; covers limited excerpts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Fair Use Doctrine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U.S.C. § 107</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qualitative defense based on a 4-factor balancing test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transformative pedagogical analysis; minimal excerpting; zero market substitution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Creative Commons (CC)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Open Legal Licenses (v4.0)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Worldwide contractual permissions granted by copyright owners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adherence to licensing terms (e.g., NonCommercial, NoDerivatives); full TASL attribution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Academic Attribution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scholarly integrity standards &amp; style manuals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scholarly ethic across undergraduate and graduate curricula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on-slide citation beneath all visual assets; active modeling of scholarly practices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and Ethical Integration of Generative AI</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Curricular Scaffolding and Backward Course Design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generative artificial intelligence (GenAI)—including Large Language Models (LLMs) and diffusion-based image engines—offers opportunities to streamline slide design and lesson planning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Rather than automating away faculty scholarship, generative AI functions most effectively as a cognitive scaffold for instructors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aligned with the Backward Design framework (Wiggins &amp; McTighe), generative AI can assist across the lesson development cycle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During outcome identification, an instructor can prompt an LLM to refine rough learning objectives, ensuring alignment with appropriate cognitive levels in Bloom’s Revised Taxonomy (e.g., replacing imprecise verbs like "understand" with actionable verbs like "critique," "synthesize," or "isolate")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During formative assessment design, the model can generate retrieval questions, real-time polling prompts, and misconception checks to insert between conceptual slide modules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During slide drafting, LLMs can distill complex literature or lecture outlines into concise, declarative assertion statements suitable for Assertion-Evidence headlines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During case-study development, generative systems can produce diverse real-world vignettes, technical scenarios, and comparative problem sets to serve as visual and conceptual evidence on the slide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Governance: The UNESCO and Russell Group Benchmarks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generative tools into university teaching requires clear institutional governance to protect academic rigor, data privacy, and intellectual property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Two leading frameworks outline institutional expectations:</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UNESCO Guidance for Generative AI in Education and Research (2023)</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under the direction of Fengchun Miao and Wayne Holmes, the UNESCO guidance establishes a human-centered approach to educational technology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report insists that generative systems must protect human agency and cognitive development rather than encouraging intellectual passivity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UNESCO principles mandate that:</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Educational institutions must formally validate generative AI systems for pedagogical and ethical suitability prior to their integration into teaching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Instructional implementations must protect student and faculty data privacy, ensuring user interactions are not harvested to train proprietary models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Systems must be governed to prevent the homogenization of educational discourse and preserve intellectual, cultural, and linguistic diversity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Russell Group Principles on the Use of Generative AI in Education (2023)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Russell Group—representing 24 leading research-intensive universities in the United Kingdom—established five core operating principles for academic institutions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Universities will support students and staff to become AI-literate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Staff must be equipped to support students in using generative AI tools effectively and appropriately in their learning experience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Universities will adapt teaching and assessment to incorporate the ethical use of generative AI and support equal access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Universities will ensure academic rigor and integrity are upheld across all instruction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Universities will work collaboratively across the higher education sector to share best practices as technologies evolve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tenet of the Russell Group guidance is user accountability: regardless of the sophistication of the generative tool, full responsibility for the factual accuracy, academic integrity, and pedagogical soundness of instructional content remains entirely with the human instructor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Epistemic and Legal Risks: Hallucinations, Bias, and Intellectual Property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unverified generative AI outputs in higher education slides introduces significant pedagogical and legal liabilities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Probabilistic Hallucination and Fabricated Citations</w:t>
      </w:r>
      <w:r w:rsidDel="00000000" w:rsidR="00000000" w:rsidRPr="00000000">
        <w:rPr>
          <w:rFonts w:ascii="Google Sans" w:cs="Google Sans" w:eastAsia="Google Sans" w:hAnsi="Google Sans"/>
          <w:color w:val="1f1f1f"/>
          <w:rtl w:val="0"/>
        </w:rPr>
        <w:t xml:space="preserve">: Large Language Models operate through probabilistic token prediction rather than formal epistemic reasoning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Consequently, they frequently generate plausible-sounding falsehoods, non-existent historical events, incorrect chemical structures, or fabricated academic citations complete with phantom DOIs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Projecting hallucinated assertions or falsified sources on lecture slides misleads students and severely damages the instructor's academic credibility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Algorithmic Bias and Representational Stereotyping</w:t>
      </w:r>
      <w:r w:rsidDel="00000000" w:rsidR="00000000" w:rsidRPr="00000000">
        <w:rPr>
          <w:rFonts w:ascii="Google Sans" w:cs="Google Sans" w:eastAsia="Google Sans" w:hAnsi="Google Sans"/>
          <w:color w:val="1f1f1f"/>
          <w:rtl w:val="0"/>
        </w:rPr>
        <w:t xml:space="preserve">: Generative visual models are trained on uncurated internet-scale datasets that reflect historical inequities and societal biases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prompted to create slide illustrations depicting professionals (e.g., surgeons, engineers, executives), generative tools frequently replicate racial, gender, and regional stereotypes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Instructors who deploy AI-generated imagery without critical review risk reinforcing systemic biases across their instructional materials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Copyright Eligibility and USCO Guidance</w:t>
      </w:r>
      <w:r w:rsidDel="00000000" w:rsidR="00000000" w:rsidRPr="00000000">
        <w:rPr>
          <w:rFonts w:ascii="Google Sans" w:cs="Google Sans" w:eastAsia="Google Sans" w:hAnsi="Google Sans"/>
          <w:color w:val="1f1f1f"/>
          <w:rtl w:val="0"/>
        </w:rPr>
        <w:t xml:space="preserve">: In March 2023, the United States Copyright Office (USCO) issued formal policy guidance affirming that copyright protection requires </w:t>
      </w:r>
      <w:r w:rsidDel="00000000" w:rsidR="00000000" w:rsidRPr="00000000">
        <w:rPr>
          <w:rFonts w:ascii="Google Sans" w:cs="Google Sans" w:eastAsia="Google Sans" w:hAnsi="Google Sans"/>
          <w:b w:val="1"/>
          <w:bCs w:val="1"/>
          <w:color w:val="1f1f1f"/>
          <w:rtl w:val="0"/>
        </w:rPr>
        <w:t xml:space="preserve">human authorship</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Works generated purely by autonomous AI systems—such as complete slides produced by automated text-to-presentation platforms—are not eligible for copyright protection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Copyright attaches only to the human-authored elements of an instructional deck, such as the instructor's original textual synthesis, creative selection, and conceptual arrangement of visual assets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Security and Privacy Regulations</w:t>
      </w:r>
      <w:r w:rsidDel="00000000" w:rsidR="00000000" w:rsidRPr="00000000">
        <w:rPr>
          <w:rFonts w:ascii="Google Sans" w:cs="Google Sans" w:eastAsia="Google Sans" w:hAnsi="Google Sans"/>
          <w:color w:val="1f1f1f"/>
          <w:rtl w:val="0"/>
        </w:rPr>
        <w:t xml:space="preserve">: Uploading confidential student work, institutional course evaluations, or unpublished scientific research into public, commercial generative models often violates institutional data policies and federal privacy statutes, such as FERPA in the United States and GDPR in Europe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Unless a university has secured an enterprise-grade platform with explicit data-protection agreements, instructors must not feed proprietary course or student materials into generative tools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Generation vs. Human-in-the-Loop Co-Creation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empirical investigations comparing fully automated presentation tools (e.g., autonomous "one-click" text-to-slide platforms) with human-governed workflows demonstrate that automated generators consistently fail to produce effective instructional materials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Autonomous systems routinely default to the worst conventions of legacy presentation software: generic, non-assertive topic titles, dense bulleted summaries, mismatched stock illustrations, and superficial coverage of complex topics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While students express open interest in faculty using AI, empirical studies reveal they react negatively when slides show signs of automated generation, citing superficial content, repetitive phrasing, and disconnects between the text and accompanying graphics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these pitfalls, instructors should use a </w:t>
      </w:r>
      <w:r w:rsidDel="00000000" w:rsidR="00000000" w:rsidRPr="00000000">
        <w:rPr>
          <w:rFonts w:ascii="Google Sans" w:cs="Google Sans" w:eastAsia="Google Sans" w:hAnsi="Google Sans"/>
          <w:b w:val="1"/>
          <w:bCs w:val="1"/>
          <w:color w:val="1f1f1f"/>
          <w:rtl w:val="0"/>
        </w:rPr>
        <w:t xml:space="preserve">Human-in-the-Loop (HITL)</w:t>
      </w:r>
      <w:r w:rsidDel="00000000" w:rsidR="00000000" w:rsidRPr="00000000">
        <w:rPr>
          <w:rFonts w:ascii="Google Sans" w:cs="Google Sans" w:eastAsia="Google Sans" w:hAnsi="Google Sans"/>
          <w:color w:val="1f1f1f"/>
          <w:rtl w:val="0"/>
        </w:rPr>
        <w:t xml:space="preserve"> co-creation workflow</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this model, the educator maintains intellectual control across every stage of the slide-generation pipeline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begins with the instructor's proprietary domain knowledge and syllabus goals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Generative AI is then employed as a collaborative ideation partner to brainstorm analogies, draft candidate assertion sentences, and suggest alternative ways to frame technical concepts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the instructor reviews every generated element against primary scholarship, fact-checking assertions and replacing placeholder examples with indexed disciplinary citations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vetted concepts are then structured into an Assertion-Evidence layout, ensuring high visual contrast, WCAG compliance, and descriptive alt-text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slide deck is shared with students accompanied by an explicit disclosure statement (e.g., </w:t>
      </w:r>
      <w:r w:rsidDel="00000000" w:rsidR="00000000" w:rsidRPr="00000000">
        <w:rPr>
          <w:rFonts w:ascii="Google Sans" w:cs="Google Sans" w:eastAsia="Google Sans" w:hAnsi="Google Sans"/>
          <w:i w:val="1"/>
          <w:iCs w:val="1"/>
          <w:color w:val="1f1f1f"/>
          <w:rtl w:val="0"/>
        </w:rPr>
        <w:t xml:space="preserve">"Slide conceptual framework developed with support from Claude 3.5; empirical assertions and medical models reviewed, validated, and formatted by the instructor"</w:t>
      </w:r>
      <w:r w:rsidDel="00000000" w:rsidR="00000000" w:rsidRPr="00000000">
        <w:rPr>
          <w:rFonts w:ascii="Google Sans" w:cs="Google Sans" w:eastAsia="Google Sans" w:hAnsi="Google Sans"/>
          <w:color w:val="1f1f1f"/>
          <w:rtl w:val="0"/>
        </w:rPr>
        <w:t xml:space="preserve">), modeling the ethical transparency expected of students in their own scholarly work</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AI Slide Generation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Human-in-the-Loop Co-Creation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Pedagogical Rationale &amp; Institutional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Headline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noun categories (e.g., "Overview of Mitochondria")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declarative assertions formulated or refined by the educator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Assertion headlines prime schema formation and reduce extraneous visual search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Evidence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stock visuals, decorative vectors, or hallucinated graphics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 peer-reviewed scientific plots, schematics, or primary documents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Adheres to the CTML Coherence Principle; eliminates confusing visual noise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Veracity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of fabricated citations, broken links, and phantom DOIs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citation verified against primary scholarly databases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Russell Group Principle 4: Ensures academic rigor, empirical truth, and integrity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Accessibility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generic, superficial alt-text (e.g., "diagram of cell")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pedagogically aligned alt-text specifying functional insights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Fulfills WCAG 2.2 Success Criterion 1.1.1 (Non-text Content)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Copyright &amp; Legal Standing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human authorship; unprotectable under USCO guidelines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selection, synthesis, and creative arrangement secure human copyright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Satisfies USCO March 2023 Human Authorship registration standards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Pedagogical Synthesis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effective presentation slides for higher education is a multidisciplinary challenge that bridges cognitive psychology, graphic design, intellectual property law, and the ethical integration of emerging technology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traditional practice of treating slides as bullet-pointed lecture scripts overloads students' working memory, fosters split-attention and redundancy effects, and lowers long-term retention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Adopting the Assertion-Evidence framework resolves these cognitive bottlenecks by pairing a clear declarative assertion with substantive visual evidence, creating a structured foundation for deep learning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cognitive foundation must be supported by accessible visual design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Applying WCAG 2.2 Level AA photometric standards, maintaining high typographic legibility, using multimodal signaling to accommodate color vision deficiencies, and structuring files for screen readers ensures that instructional slides are accessible to all learners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instructors must navigate the legal landscape of intellectual property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Recognizing the legal boundaries between physical classroom exceptions and digital distribution under the TEACH Act, conducting disciplined four-factor fair use evaluations, prioritizing open Creative Commons resources, and providing clear on-slide citations protects institutions from copyright liability while actively modeling scholarly integrity for students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integration of generative AI must be guided by human-in-the-loop workflows and institutional frameworks like those established by UNESCO and the Russell Group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autonomous, "one-click" AI presentation tools tend to produce generic, pedagogically flawed materials, generative systems can serve as valuable cognitive scaffolds for instructors when used thoughtfully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using AI for course mapping, objective refinement, and initial ideation—while maintaining strict human oversight for factual verification, visual evidence curation, and transparent attribution—instructors can harness emerging technologies without sacrificing pedagogical rigor or academic integrity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instructional slides should not serve as passive administrative teleprompters, but as carefully engineered instruments of cognitive engagement, visual clarity, and scholarly excellence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Principles of Accessible Multimedia Learning - EdTech Books, </w:t>
      </w:r>
      <w:hyperlink r:id="rId16">
        <w:r w:rsidDel="00000000" w:rsidR="00000000" w:rsidRPr="00000000">
          <w:rPr>
            <w:rFonts w:ascii="Google Sans" w:cs="Google Sans" w:eastAsia="Google Sans" w:hAnsi="Google Sans"/>
            <w:color w:val="0000ee"/>
            <w:sz w:val="24"/>
            <w:szCs w:val="24"/>
            <w:u w:val="single"/>
            <w:rtl w:val="0"/>
          </w:rPr>
          <w:t xml:space="preserve">https://edtechbooks.org/jaid_11_4/gqofZtoi</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Assertion-Evidence Slides Appear to Lead to Better Comprehension,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https://www.researchgate.net/publication/344533171_Assertion-Evidence_Slides_Appear_to_Lead_to_Better_Comprehension_and_Recall_of_More_Complex_Concepts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Assertion-Evidence Slides Appear to Lead to Better Comprehension, </w:t>
      </w:r>
      <w:hyperlink r:id="rId18">
        <w:r w:rsidDel="00000000" w:rsidR="00000000" w:rsidRPr="00000000">
          <w:rPr>
            <w:rFonts w:ascii="Google Sans" w:cs="Google Sans" w:eastAsia="Google Sans" w:hAnsi="Google Sans"/>
            <w:color w:val="0000ee"/>
            <w:sz w:val="24"/>
            <w:szCs w:val="24"/>
            <w:u w:val="single"/>
            <w:rtl w:val="0"/>
          </w:rPr>
          <w:t xml:space="preserve">https://peer.asee.org/assertion-evidence-slides-appear-to-lead-to-better-comprehension-and-recall-of-more-complex-concepts.pdf</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Cognitive Load Theory to the Design of Health,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https://pmc.ncbi.nlm.nih.gov/articles/PMC12246501/</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Multimedia Learning Theory and Instructional Message Design, </w:t>
      </w:r>
      <w:hyperlink r:id="rId20">
        <w:r w:rsidDel="00000000" w:rsidR="00000000" w:rsidRPr="00000000">
          <w:rPr>
            <w:rFonts w:ascii="Google Sans" w:cs="Google Sans" w:eastAsia="Google Sans" w:hAnsi="Google Sans"/>
            <w:color w:val="0000ee"/>
            <w:sz w:val="24"/>
            <w:szCs w:val="24"/>
            <w:u w:val="single"/>
            <w:rtl w:val="0"/>
          </w:rPr>
          <w:t xml:space="preserve">https://digitalcommons.odu.edu/cgi/viewcontent.cgi?article=1002&amp;context=instructional_message_design</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Great Presentation - Garr Reynolds, </w:t>
      </w:r>
      <w:hyperlink r:id="rId21">
        <w:r w:rsidDel="00000000" w:rsidR="00000000" w:rsidRPr="00000000">
          <w:rPr>
            <w:rFonts w:ascii="Google Sans" w:cs="Google Sans" w:eastAsia="Google Sans" w:hAnsi="Google Sans"/>
            <w:color w:val="0000ee"/>
            <w:sz w:val="24"/>
            <w:szCs w:val="24"/>
            <w:u w:val="single"/>
            <w:rtl w:val="0"/>
          </w:rPr>
          <w:t xml:space="preserve">https://www.garrreynolds.com/design-tips</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Learning Effectiveness with Mayer's Multimedia, </w:t>
      </w:r>
      <w:hyperlink r:id="rId22">
        <w:r w:rsidDel="00000000" w:rsidR="00000000" w:rsidRPr="00000000">
          <w:rPr>
            <w:rFonts w:ascii="Google Sans" w:cs="Google Sans" w:eastAsia="Google Sans" w:hAnsi="Google Sans"/>
            <w:color w:val="0000ee"/>
            <w:sz w:val="24"/>
            <w:szCs w:val="24"/>
            <w:u w:val="single"/>
            <w:rtl w:val="0"/>
          </w:rPr>
          <w:t xml:space="preserve">https://www.gssrr.org/JournalOfBasicAndApplied/article/download/13392/6186/40228</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Presentation Accessibility: Creating Inclusive Slides Automatically, </w:t>
      </w:r>
      <w:hyperlink r:id="rId23">
        <w:r w:rsidDel="00000000" w:rsidR="00000000" w:rsidRPr="00000000">
          <w:rPr>
            <w:rFonts w:ascii="Google Sans" w:cs="Google Sans" w:eastAsia="Google Sans" w:hAnsi="Google Sans"/>
            <w:color w:val="0000ee"/>
            <w:sz w:val="24"/>
            <w:szCs w:val="24"/>
            <w:u w:val="single"/>
            <w:rtl w:val="0"/>
          </w:rPr>
          <w:t xml:space="preserve">https://2slides.com/blog/ai-presentation-accessibility-creating-inclusive-slides</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Copyright Part II: Using Others' Original Works Legally (Creative, </w:t>
      </w:r>
      <w:hyperlink r:id="rId24">
        <w:r w:rsidDel="00000000" w:rsidR="00000000" w:rsidRPr="00000000">
          <w:rPr>
            <w:rFonts w:ascii="Google Sans" w:cs="Google Sans" w:eastAsia="Google Sans" w:hAnsi="Google Sans"/>
            <w:color w:val="0000ee"/>
            <w:sz w:val="24"/>
            <w:szCs w:val="24"/>
            <w:u w:val="single"/>
            <w:rtl w:val="0"/>
          </w:rPr>
          <w:t xml:space="preserve">https://pressbooks.lib.vt.edu/higheredk12collaborationtoolkit/chapter/5-copyright-part-ii/</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on Generative AI in Education and Research - 386693 Eng, </w:t>
      </w:r>
      <w:hyperlink r:id="rId25">
        <w:r w:rsidDel="00000000" w:rsidR="00000000" w:rsidRPr="00000000">
          <w:rPr>
            <w:rFonts w:ascii="Google Sans" w:cs="Google Sans" w:eastAsia="Google Sans" w:hAnsi="Google Sans"/>
            <w:color w:val="0000ee"/>
            <w:sz w:val="24"/>
            <w:szCs w:val="24"/>
            <w:u w:val="single"/>
            <w:rtl w:val="0"/>
          </w:rPr>
          <w:t xml:space="preserve">https://www.studocu.vn/vn/document/truong-dai-hoc-cong-nghe-va-quan-ly-huu-nghi/phuong-phap-nghien-cuu/386693-eng-jebrfsido/113852613</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Multimedia Learning – Theory, Principles, and Tools, </w:t>
      </w:r>
      <w:hyperlink r:id="rId26">
        <w:r w:rsidDel="00000000" w:rsidR="00000000" w:rsidRPr="00000000">
          <w:rPr>
            <w:rFonts w:ascii="Google Sans" w:cs="Google Sans" w:eastAsia="Google Sans" w:hAnsi="Google Sans"/>
            <w:color w:val="0000ee"/>
            <w:sz w:val="24"/>
            <w:szCs w:val="24"/>
            <w:u w:val="single"/>
            <w:rtl w:val="0"/>
          </w:rPr>
          <w:t xml:space="preserve">https://usavrsavanje.loomen.carnet.hr/mod/book/tool/print/index.php?id=172012</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and Student Engagement, Motivation, and Learning, </w:t>
      </w:r>
      <w:hyperlink r:id="rId27">
        <w:r w:rsidDel="00000000" w:rsidR="00000000" w:rsidRPr="00000000">
          <w:rPr>
            <w:rFonts w:ascii="Google Sans" w:cs="Google Sans" w:eastAsia="Google Sans" w:hAnsi="Google Sans"/>
            <w:color w:val="0000ee"/>
            <w:sz w:val="24"/>
            <w:szCs w:val="24"/>
            <w:u w:val="single"/>
            <w:rtl w:val="0"/>
          </w:rPr>
          <w:t xml:space="preserve">https://digital.sandiego.edu/context/dissertations/article/2104/viewcontent/Simmons___Generative_AI_and_Student_Engagement__Motivation__and_Learning.pdf</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Theory of Multimedia Learning (Chapter 3), </w:t>
      </w:r>
      <w:hyperlink r:id="rId28">
        <w:r w:rsidDel="00000000" w:rsidR="00000000" w:rsidRPr="00000000">
          <w:rPr>
            <w:rFonts w:ascii="Google Sans" w:cs="Google Sans" w:eastAsia="Google Sans" w:hAnsi="Google Sans"/>
            <w:color w:val="0000ee"/>
            <w:sz w:val="24"/>
            <w:szCs w:val="24"/>
            <w:u w:val="single"/>
            <w:rtl w:val="0"/>
          </w:rPr>
          <w:t xml:space="preserve">https://www.cambridge.org/core/books/cambridge-handbook-of-multimedia-learning/cognitive-theory-of-multimedia-learning/24E5AEDEC8F4137E37E15BD2BCA91326</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Design of Presentation Slides Affects Audience ... - IJEE, </w:t>
      </w:r>
      <w:hyperlink r:id="rId29">
        <w:r w:rsidDel="00000000" w:rsidR="00000000" w:rsidRPr="00000000">
          <w:rPr>
            <w:rFonts w:ascii="Google Sans" w:cs="Google Sans" w:eastAsia="Google Sans" w:hAnsi="Google Sans"/>
            <w:color w:val="0000ee"/>
            <w:sz w:val="24"/>
            <w:szCs w:val="24"/>
            <w:u w:val="single"/>
            <w:rtl w:val="0"/>
          </w:rPr>
          <w:t xml:space="preserve">https://www.ijee.ie/articles/Vol29-6/23_ijee2791ns.pdf</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14: The Cognitive Theory of Multimedia Learning, </w:t>
      </w:r>
      <w:hyperlink r:id="rId30">
        <w:r w:rsidDel="00000000" w:rsidR="00000000" w:rsidRPr="00000000">
          <w:rPr>
            <w:rFonts w:ascii="Google Sans" w:cs="Google Sans" w:eastAsia="Google Sans" w:hAnsi="Google Sans"/>
            <w:color w:val="0000ee"/>
            <w:sz w:val="24"/>
            <w:szCs w:val="24"/>
            <w:u w:val="single"/>
            <w:rtl w:val="0"/>
          </w:rPr>
          <w:t xml:space="preserve">https://www.emerald.com/books/edited-volume/20782/chapter/106744099/The-Cognitive-Theory-of-Multimedia-Learning</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AI-mediated dynamic assessment in EFL presentation courses, </w:t>
      </w:r>
      <w:hyperlink r:id="rId31">
        <w:r w:rsidDel="00000000" w:rsidR="00000000" w:rsidRPr="00000000">
          <w:rPr>
            <w:rFonts w:ascii="Google Sans" w:cs="Google Sans" w:eastAsia="Google Sans" w:hAnsi="Google Sans"/>
            <w:color w:val="0000ee"/>
            <w:sz w:val="24"/>
            <w:szCs w:val="24"/>
            <w:u w:val="single"/>
            <w:rtl w:val="0"/>
          </w:rPr>
          <w:t xml:space="preserve">https://archive.conscientiabeam.com/index.php/179/article/download/4943/9197/17396</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Presentation Zen Design - Garr Reynolds - Pearsoncmg.com, </w:t>
      </w:r>
      <w:hyperlink r:id="rId32">
        <w:r w:rsidDel="00000000" w:rsidR="00000000" w:rsidRPr="00000000">
          <w:rPr>
            <w:rFonts w:ascii="Google Sans" w:cs="Google Sans" w:eastAsia="Google Sans" w:hAnsi="Google Sans"/>
            <w:color w:val="0000ee"/>
            <w:sz w:val="24"/>
            <w:szCs w:val="24"/>
            <w:u w:val="single"/>
            <w:rtl w:val="0"/>
          </w:rPr>
          <w:t xml:space="preserve">https://ptgmedia.pearsoncmg.com/images/9780321934154/samplepages/0321934156.pdf</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design of presentation slides affects audience, </w:t>
      </w:r>
      <w:hyperlink r:id="rId33">
        <w:r w:rsidDel="00000000" w:rsidR="00000000" w:rsidRPr="00000000">
          <w:rPr>
            <w:rFonts w:ascii="Google Sans" w:cs="Google Sans" w:eastAsia="Google Sans" w:hAnsi="Google Sans"/>
            <w:color w:val="0000ee"/>
            <w:sz w:val="24"/>
            <w:szCs w:val="24"/>
            <w:u w:val="single"/>
            <w:rtl w:val="0"/>
          </w:rPr>
          <w:t xml:space="preserve">https://pure.psu.edu/en/publications/how-the-design-of-presentation-slides-affects-audience-comprehens/</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How the design of presentation slides affects audience, </w:t>
      </w:r>
      <w:hyperlink r:id="rId34">
        <w:r w:rsidDel="00000000" w:rsidR="00000000" w:rsidRPr="00000000">
          <w:rPr>
            <w:rFonts w:ascii="Google Sans" w:cs="Google Sans" w:eastAsia="Google Sans" w:hAnsi="Google Sans"/>
            <w:color w:val="0000ee"/>
            <w:sz w:val="24"/>
            <w:szCs w:val="24"/>
            <w:u w:val="single"/>
            <w:rtl w:val="0"/>
          </w:rPr>
          <w:t xml:space="preserve">https://www.semanticscholar.org/paper/How-the-design-of-presentation-slides-affects-A-for-Garner-Alley/c44e5deb4f3b8f35eb5d427cacfc07038dd53416</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How the Design of Presentation Slides Affects Audience,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https://www.researchgate.net/publication/286042632_How_the_Design_of_Presentation_Slides_Affects_Audience_Comprehension_A_Case_for_the_Assertion-Evidence_Approach</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Augmented Course Design: Using AI to Boost Efficiency and Expand, </w:t>
      </w:r>
      <w:hyperlink r:id="rId36">
        <w:r w:rsidDel="00000000" w:rsidR="00000000" w:rsidRPr="00000000">
          <w:rPr>
            <w:rFonts w:ascii="Google Sans" w:cs="Google Sans" w:eastAsia="Google Sans" w:hAnsi="Google Sans"/>
            <w:color w:val="0000ee"/>
            <w:sz w:val="24"/>
            <w:szCs w:val="24"/>
            <w:u w:val="single"/>
            <w:rtl w:val="0"/>
          </w:rPr>
          <w:t xml:space="preserve">https://er.educause.edu/articles/2024/8/augmented-course-design-using-ai-to-boost-efficiency-and-expand-capacity</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presentation zen garr reynolds Tutorial, </w:t>
      </w:r>
      <w:hyperlink r:id="rId37">
        <w:r w:rsidDel="00000000" w:rsidR="00000000" w:rsidRPr="00000000">
          <w:rPr>
            <w:rFonts w:ascii="Google Sans" w:cs="Google Sans" w:eastAsia="Google Sans" w:hAnsi="Google Sans"/>
            <w:color w:val="0000ee"/>
            <w:sz w:val="24"/>
            <w:szCs w:val="24"/>
            <w:u w:val="single"/>
            <w:rtl w:val="0"/>
          </w:rPr>
          <w:t xml:space="preserve">https://www.fredericksberlin.com/digest/u85XC7T27ZXI/presentation_zen_garr-reynolds</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Presentation Zen: Simple Ideas on Presentation Design and Delivery, </w:t>
      </w:r>
      <w:hyperlink r:id="rId38">
        <w:r w:rsidDel="00000000" w:rsidR="00000000" w:rsidRPr="00000000">
          <w:rPr>
            <w:rFonts w:ascii="Google Sans" w:cs="Google Sans" w:eastAsia="Google Sans" w:hAnsi="Google Sans"/>
            <w:color w:val="0000ee"/>
            <w:sz w:val="24"/>
            <w:szCs w:val="24"/>
            <w:u w:val="single"/>
            <w:rtl w:val="0"/>
          </w:rPr>
          <w:t xml:space="preserve">https://yoniekomputer.wordpress.com/wp-content/uploads/2016/07/presentation_zen_design__simple_design_principles_and_techniques_to_enhance_your_presentations.pdf</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Font Size &amp; Accessible Typography for Nonprofits - Socialectric, </w:t>
      </w:r>
      <w:hyperlink r:id="rId39">
        <w:r w:rsidDel="00000000" w:rsidR="00000000" w:rsidRPr="00000000">
          <w:rPr>
            <w:rFonts w:ascii="Google Sans" w:cs="Google Sans" w:eastAsia="Google Sans" w:hAnsi="Google Sans"/>
            <w:color w:val="0000ee"/>
            <w:sz w:val="24"/>
            <w:szCs w:val="24"/>
            <w:u w:val="single"/>
            <w:rtl w:val="0"/>
          </w:rPr>
          <w:t xml:space="preserve">https://www.socialectric.com/insights/accessible-fonts-nonprofits</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Accessible Typography: Carie Fisher - Equalize Digital, </w:t>
      </w:r>
      <w:hyperlink r:id="rId40">
        <w:r w:rsidDel="00000000" w:rsidR="00000000" w:rsidRPr="00000000">
          <w:rPr>
            <w:rFonts w:ascii="Google Sans" w:cs="Google Sans" w:eastAsia="Google Sans" w:hAnsi="Google Sans"/>
            <w:color w:val="0000ee"/>
            <w:sz w:val="24"/>
            <w:szCs w:val="24"/>
            <w:u w:val="single"/>
            <w:rtl w:val="0"/>
          </w:rPr>
          <w:t xml:space="preserve">https://equalizedigital.com/accessible-typograhy-carie-fisher/</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Compliance | DMU CME, </w:t>
      </w:r>
      <w:hyperlink r:id="rId41">
        <w:r w:rsidDel="00000000" w:rsidR="00000000" w:rsidRPr="00000000">
          <w:rPr>
            <w:rFonts w:ascii="Google Sans" w:cs="Google Sans" w:eastAsia="Google Sans" w:hAnsi="Google Sans"/>
            <w:color w:val="0000ee"/>
            <w:sz w:val="24"/>
            <w:szCs w:val="24"/>
            <w:u w:val="single"/>
            <w:rtl w:val="0"/>
          </w:rPr>
          <w:t xml:space="preserve">https://cme.dmu.edu/sites/default/files/Copyright%20Compliance.pdf</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and Teaching Online, </w:t>
      </w:r>
      <w:hyperlink r:id="rId42">
        <w:r w:rsidDel="00000000" w:rsidR="00000000" w:rsidRPr="00000000">
          <w:rPr>
            <w:rFonts w:ascii="Google Sans" w:cs="Google Sans" w:eastAsia="Google Sans" w:hAnsi="Google Sans"/>
            <w:color w:val="0000ee"/>
            <w:sz w:val="24"/>
            <w:szCs w:val="24"/>
            <w:u w:val="single"/>
            <w:rtl w:val="0"/>
          </w:rPr>
          <w:t xml:space="preserve">https://most.oercommons.org/courseware/lesson/1388/overview</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open access and library instruction - Emerald Publishing, </w:t>
      </w:r>
      <w:hyperlink r:id="rId43">
        <w:r w:rsidDel="00000000" w:rsidR="00000000" w:rsidRPr="00000000">
          <w:rPr>
            <w:rFonts w:ascii="Google Sans" w:cs="Google Sans" w:eastAsia="Google Sans" w:hAnsi="Google Sans"/>
            <w:color w:val="0000ee"/>
            <w:sz w:val="24"/>
            <w:szCs w:val="24"/>
            <w:u w:val="single"/>
            <w:rtl w:val="0"/>
          </w:rPr>
          <w:t xml:space="preserve">https://www.emerald.com/lhtn/article/31/10/13/271588/Copyright-open-access-and-library-instruction</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New Copyright Law for Distance Education, </w:t>
      </w:r>
      <w:hyperlink r:id="rId44">
        <w:r w:rsidDel="00000000" w:rsidR="00000000" w:rsidRPr="00000000">
          <w:rPr>
            <w:rFonts w:ascii="Google Sans" w:cs="Google Sans" w:eastAsia="Google Sans" w:hAnsi="Google Sans"/>
            <w:color w:val="0000ee"/>
            <w:sz w:val="24"/>
            <w:szCs w:val="24"/>
            <w:u w:val="single"/>
            <w:rtl w:val="0"/>
          </w:rPr>
          <w:t xml:space="preserve">https://www.ala.org/sites/default/files/advocacy/content/copyright/teachact/teachsummary.pdf</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Questions and Answers: Copyright Column - Purdue e-Pubs, </w:t>
      </w:r>
      <w:hyperlink r:id="rId45">
        <w:r w:rsidDel="00000000" w:rsidR="00000000" w:rsidRPr="00000000">
          <w:rPr>
            <w:rFonts w:ascii="Google Sans" w:cs="Google Sans" w:eastAsia="Google Sans" w:hAnsi="Google Sans"/>
            <w:color w:val="0000ee"/>
            <w:sz w:val="24"/>
            <w:szCs w:val="24"/>
            <w:u w:val="single"/>
            <w:rtl w:val="0"/>
          </w:rPr>
          <w:t xml:space="preserve">https://docs.lib.purdue.edu/cgi/viewcontent.cgi?article=7010&amp;context=atg</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Sharing Visual Arts Images for Educational Use - EDUCAUSE Review, </w:t>
      </w:r>
      <w:hyperlink r:id="rId46">
        <w:r w:rsidDel="00000000" w:rsidR="00000000" w:rsidRPr="00000000">
          <w:rPr>
            <w:rFonts w:ascii="Google Sans" w:cs="Google Sans" w:eastAsia="Google Sans" w:hAnsi="Google Sans"/>
            <w:color w:val="0000ee"/>
            <w:sz w:val="24"/>
            <w:szCs w:val="24"/>
            <w:u w:val="single"/>
            <w:rtl w:val="0"/>
          </w:rPr>
          <w:t xml:space="preserve">https://er.educause.edu/articles/2007/10/sharing-visual-arts-images-for-educational-use--finding-a-new-angle-of-repose</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 EDUCAUSE Library, </w:t>
      </w:r>
      <w:hyperlink r:id="rId47">
        <w:r w:rsidDel="00000000" w:rsidR="00000000" w:rsidRPr="00000000">
          <w:rPr>
            <w:rFonts w:ascii="Google Sans" w:cs="Google Sans" w:eastAsia="Google Sans" w:hAnsi="Google Sans"/>
            <w:color w:val="0000ee"/>
            <w:sz w:val="24"/>
            <w:szCs w:val="24"/>
            <w:u w:val="single"/>
            <w:rtl w:val="0"/>
          </w:rPr>
          <w:t xml:space="preserve">https://library.educause.edu/topics/infrastructure-and-research-technologies/generative-ai</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Russell Group (2023). Russell Group Principles on the Use ... - SCIRP, </w:t>
      </w:r>
      <w:hyperlink r:id="rId48">
        <w:r w:rsidDel="00000000" w:rsidR="00000000" w:rsidRPr="00000000">
          <w:rPr>
            <w:rFonts w:ascii="Google Sans" w:cs="Google Sans" w:eastAsia="Google Sans" w:hAnsi="Google Sans"/>
            <w:color w:val="0000ee"/>
            <w:sz w:val="24"/>
            <w:szCs w:val="24"/>
            <w:u w:val="single"/>
            <w:rtl w:val="0"/>
          </w:rPr>
          <w:t xml:space="preserve">https://www.scirp.org/reference/referencespapers?referenceid=3955237</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Tables and figures | UC - University of Canterbury, </w:t>
      </w:r>
      <w:hyperlink r:id="rId49">
        <w:r w:rsidDel="00000000" w:rsidR="00000000" w:rsidRPr="00000000">
          <w:rPr>
            <w:rFonts w:ascii="Google Sans" w:cs="Google Sans" w:eastAsia="Google Sans" w:hAnsi="Google Sans"/>
            <w:color w:val="0000ee"/>
            <w:sz w:val="24"/>
            <w:szCs w:val="24"/>
            <w:u w:val="single"/>
            <w:rtl w:val="0"/>
          </w:rPr>
          <w:t xml:space="preserve">https://www.canterbury.ac.nz/study/study-support-info/citations-and-referencing/apa-style/tables-and-figures</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Russell Group principles on the use of generative AI tools in education, </w:t>
      </w:r>
      <w:hyperlink r:id="rId50">
        <w:r w:rsidDel="00000000" w:rsidR="00000000" w:rsidRPr="00000000">
          <w:rPr>
            <w:rFonts w:ascii="Google Sans" w:cs="Google Sans" w:eastAsia="Google Sans" w:hAnsi="Google Sans"/>
            <w:color w:val="0000ee"/>
            <w:sz w:val="24"/>
            <w:szCs w:val="24"/>
            <w:u w:val="single"/>
            <w:rtl w:val="0"/>
          </w:rPr>
          <w:t xml:space="preserve">https://www.russellgroup.ac.uk/sites/default/files/2025-01/Russell%20Group%20principles%20on%20generative%20AI%20in%20education.pdf</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public-speaking students to use Beautiful.ai for their slide,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https://www.researchgate.net/publication/387656896_AI_as_designated_designer_Training_public-speaking_students_to_use_Beautifulai_for_their_slide_presentations</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Study of Generative AI Tools for Higher Education, </w:t>
      </w:r>
      <w:hyperlink r:id="rId52">
        <w:r w:rsidDel="00000000" w:rsidR="00000000" w:rsidRPr="00000000">
          <w:rPr>
            <w:rFonts w:ascii="Google Sans" w:cs="Google Sans" w:eastAsia="Google Sans" w:hAnsi="Google Sans"/>
            <w:color w:val="0000ee"/>
            <w:sz w:val="24"/>
            <w:szCs w:val="24"/>
            <w:u w:val="single"/>
            <w:rtl w:val="0"/>
          </w:rPr>
          <w:t xml:space="preserve">https://www.emerald.com/books/edited-volume/17219/chapter/94200806/A-Practical-Study-of-Generative-AI-Tools-for</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Russell Group 2023 Principles on Generative AI in Education, </w:t>
      </w:r>
      <w:hyperlink r:id="rId53">
        <w:r w:rsidDel="00000000" w:rsidR="00000000" w:rsidRPr="00000000">
          <w:rPr>
            <w:rFonts w:ascii="Google Sans" w:cs="Google Sans" w:eastAsia="Google Sans" w:hAnsi="Google Sans"/>
            <w:color w:val="0000ee"/>
            <w:sz w:val="24"/>
            <w:szCs w:val="24"/>
            <w:u w:val="single"/>
            <w:rtl w:val="0"/>
          </w:rPr>
          <w:t xml:space="preserve">https://www.studocu.vn/vn/document/truong-dai-hoc-bach-khoa-dai-hoc-quoc-gia-thanh-pho-ho-chi-minh/tai-lieu-tong-hop/russell-group-2023-aiprinciples-education/175386909</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Generative AI in Education and Research, </w:t>
      </w:r>
      <w:hyperlink r:id="rId54">
        <w:r w:rsidDel="00000000" w:rsidR="00000000" w:rsidRPr="00000000">
          <w:rPr>
            <w:rFonts w:ascii="Google Sans" w:cs="Google Sans" w:eastAsia="Google Sans" w:hAnsi="Google Sans"/>
            <w:color w:val="0000ee"/>
            <w:sz w:val="24"/>
            <w:szCs w:val="24"/>
            <w:u w:val="single"/>
            <w:rtl w:val="0"/>
          </w:rPr>
          <w:t xml:space="preserve">https://gcedclearinghouse.org/en/node/129341</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generative AI in education and research - Africa, </w:t>
      </w:r>
      <w:hyperlink r:id="rId55">
        <w:r w:rsidDel="00000000" w:rsidR="00000000" w:rsidRPr="00000000">
          <w:rPr>
            <w:rFonts w:ascii="Google Sans" w:cs="Google Sans" w:eastAsia="Google Sans" w:hAnsi="Google Sans"/>
            <w:color w:val="0000ee"/>
            <w:sz w:val="24"/>
            <w:szCs w:val="24"/>
            <w:u w:val="single"/>
            <w:rtl w:val="0"/>
          </w:rPr>
          <w:t xml:space="preserve">https://www.iicba.unesco.org/ar/africa-education-knowledge-platform/guidance-generative-ai-education-and-research</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generative AI in education and research, </w:t>
      </w:r>
      <w:hyperlink r:id="rId56">
        <w:r w:rsidDel="00000000" w:rsidR="00000000" w:rsidRPr="00000000">
          <w:rPr>
            <w:rFonts w:ascii="Google Sans" w:cs="Google Sans" w:eastAsia="Google Sans" w:hAnsi="Google Sans"/>
            <w:color w:val="0000ee"/>
            <w:sz w:val="24"/>
            <w:szCs w:val="24"/>
            <w:u w:val="single"/>
            <w:rtl w:val="0"/>
          </w:rPr>
          <w:t xml:space="preserve">https://teachertaskforce.org/knowledge-hub/guidance-generative-ai-education-and-research</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Russell Group principles on AI in education - Medium, </w:t>
      </w:r>
      <w:hyperlink r:id="rId57">
        <w:r w:rsidDel="00000000" w:rsidR="00000000" w:rsidRPr="00000000">
          <w:rPr>
            <w:rFonts w:ascii="Google Sans" w:cs="Google Sans" w:eastAsia="Google Sans" w:hAnsi="Google Sans"/>
            <w:color w:val="0000ee"/>
            <w:sz w:val="24"/>
            <w:szCs w:val="24"/>
            <w:u w:val="single"/>
            <w:rtl w:val="0"/>
          </w:rPr>
          <w:t xml:space="preserve">https://medium.com/@jolindsaywalton/on-the-russell-group-principles-on-ai-in-education-b1065c26eff8</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Principles on the use of generative AI tools in education, </w:t>
      </w:r>
      <w:hyperlink r:id="rId58">
        <w:r w:rsidDel="00000000" w:rsidR="00000000" w:rsidRPr="00000000">
          <w:rPr>
            <w:rFonts w:ascii="Google Sans" w:cs="Google Sans" w:eastAsia="Google Sans" w:hAnsi="Google Sans"/>
            <w:color w:val="0000ee"/>
            <w:sz w:val="24"/>
            <w:szCs w:val="24"/>
            <w:u w:val="single"/>
            <w:rtl w:val="0"/>
          </w:rPr>
          <w:t xml:space="preserve">https://www.russellgroup.ac.uk/policy/policy-briefings/principles-use-generative-ai-tools-education</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Russell Group principles on the use of generative AI tools in education, </w:t>
      </w:r>
      <w:hyperlink r:id="rId59">
        <w:r w:rsidDel="00000000" w:rsidR="00000000" w:rsidRPr="00000000">
          <w:rPr>
            <w:rFonts w:ascii="Google Sans" w:cs="Google Sans" w:eastAsia="Google Sans" w:hAnsi="Google Sans"/>
            <w:color w:val="0000ee"/>
            <w:sz w:val="24"/>
            <w:szCs w:val="24"/>
            <w:u w:val="single"/>
            <w:rtl w:val="0"/>
          </w:rPr>
          <w:t xml:space="preserve">https://todoele.net/bibliografia/russell-group-principles-use-generative-ai-tools-education</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generative ai in education and research" for teachers,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https://www.researchgate.net/publication/384328038_GUIDANCE_FOR_GENERATIVE_AI_IN_EDUCATION_AND_RESEARCH_FOR_TEACHERS</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Office Publishes Report on Copyrightability of AI, </w:t>
      </w:r>
      <w:hyperlink r:id="rId61">
        <w:r w:rsidDel="00000000" w:rsidR="00000000" w:rsidRPr="00000000">
          <w:rPr>
            <w:rFonts w:ascii="Google Sans" w:cs="Google Sans" w:eastAsia="Google Sans" w:hAnsi="Google Sans"/>
            <w:color w:val="0000ee"/>
            <w:sz w:val="24"/>
            <w:szCs w:val="24"/>
            <w:u w:val="single"/>
            <w:rtl w:val="0"/>
          </w:rPr>
          <w:t xml:space="preserve">https://www.skadden.com/insights/publications/2025/02/copyright-office-publishes-report</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and Copyright - Regulations.gov, </w:t>
      </w:r>
      <w:hyperlink r:id="rId62">
        <w:r w:rsidDel="00000000" w:rsidR="00000000" w:rsidRPr="00000000">
          <w:rPr>
            <w:rFonts w:ascii="Google Sans" w:cs="Google Sans" w:eastAsia="Google Sans" w:hAnsi="Google Sans"/>
            <w:color w:val="0000ee"/>
            <w:sz w:val="24"/>
            <w:szCs w:val="24"/>
            <w:u w:val="single"/>
            <w:rtl w:val="0"/>
          </w:rPr>
          <w:t xml:space="preserve">https://www.regulations.gov/document/COLC-2023-0006-0001</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 Containing Material Generated by Artificial Intelligence, </w:t>
      </w:r>
      <w:hyperlink r:id="rId63">
        <w:r w:rsidDel="00000000" w:rsidR="00000000" w:rsidRPr="00000000">
          <w:rPr>
            <w:rFonts w:ascii="Google Sans" w:cs="Google Sans" w:eastAsia="Google Sans" w:hAnsi="Google Sans"/>
            <w:color w:val="0000ee"/>
            <w:sz w:val="24"/>
            <w:szCs w:val="24"/>
            <w:u w:val="single"/>
            <w:rtl w:val="0"/>
          </w:rPr>
          <w:t xml:space="preserve">https://www.copyright.gov/ai/ai_policy_guidance.pdf</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Principles Agreed for Using Generative Artificial Intelligence in, </w:t>
      </w:r>
      <w:hyperlink r:id="rId64">
        <w:r w:rsidDel="00000000" w:rsidR="00000000" w:rsidRPr="00000000">
          <w:rPr>
            <w:rFonts w:ascii="Google Sans" w:cs="Google Sans" w:eastAsia="Google Sans" w:hAnsi="Google Sans"/>
            <w:color w:val="0000ee"/>
            <w:sz w:val="24"/>
            <w:szCs w:val="24"/>
            <w:u w:val="single"/>
            <w:rtl w:val="0"/>
          </w:rPr>
          <w:t xml:space="preserve">https://www.bath.ac.uk/announcements/new-principles-agreed-for-using-generative-artificial-intelligence-in-education/</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AI-Generated Slides: Are They Good? Can Students Tell? - arXiv, </w:t>
      </w:r>
      <w:hyperlink r:id="rId65">
        <w:r w:rsidDel="00000000" w:rsidR="00000000" w:rsidRPr="00000000">
          <w:rPr>
            <w:rFonts w:ascii="Google Sans" w:cs="Google Sans" w:eastAsia="Google Sans" w:hAnsi="Google Sans"/>
            <w:color w:val="0000ee"/>
            <w:sz w:val="24"/>
            <w:szCs w:val="24"/>
            <w:u w:val="single"/>
            <w:rtl w:val="0"/>
          </w:rPr>
          <w:t xml:space="preserve">https://arxiv.org/html/2605.13532v1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qualizedigital.com/accessible-typograhy-carie-fisher/" TargetMode="External"/><Relationship Id="rId42" Type="http://schemas.openxmlformats.org/officeDocument/2006/relationships/hyperlink" Target="https://most.oercommons.org/courseware/lesson/1388/overview" TargetMode="External"/><Relationship Id="rId41" Type="http://schemas.openxmlformats.org/officeDocument/2006/relationships/hyperlink" Target="https://cme.dmu.edu/sites/default/files/Copyright%20Compliance.pdf" TargetMode="External"/><Relationship Id="rId44" Type="http://schemas.openxmlformats.org/officeDocument/2006/relationships/hyperlink" Target="https://www.ala.org/sites/default/files/advocacy/content/copyright/teachact/teachsummary.pdf" TargetMode="External"/><Relationship Id="rId43" Type="http://schemas.openxmlformats.org/officeDocument/2006/relationships/hyperlink" Target="https://www.emerald.com/lhtn/article/31/10/13/271588/Copyright-open-access-and-library-instruction" TargetMode="External"/><Relationship Id="rId46" Type="http://schemas.openxmlformats.org/officeDocument/2006/relationships/hyperlink" Target="https://er.educause.edu/articles/2007/10/sharing-visual-arts-images-for-educational-use--finding-a-new-angle-of-repose" TargetMode="External"/><Relationship Id="rId45" Type="http://schemas.openxmlformats.org/officeDocument/2006/relationships/hyperlink" Target="https://docs.lib.purdue.edu/cgi/viewcontent.cgi?article=7010&amp;context=at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scirp.org/reference/referencespapers?referenceid=3955237" TargetMode="External"/><Relationship Id="rId47" Type="http://schemas.openxmlformats.org/officeDocument/2006/relationships/hyperlink" Target="https://library.educause.edu/topics/infrastructure-and-research-technologies/generative-ai" TargetMode="External"/><Relationship Id="rId49" Type="http://schemas.openxmlformats.org/officeDocument/2006/relationships/hyperlink" Target="https://www.canterbury.ac.nz/study/study-support-info/citations-and-referencing/apa-style/tables-and-figur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archive.conscientiabeam.com/index.php/179/article/download/4943/9197/17396" TargetMode="External"/><Relationship Id="rId30" Type="http://schemas.openxmlformats.org/officeDocument/2006/relationships/hyperlink" Target="https://www.emerald.com/books/edited-volume/20782/chapter/106744099/The-Cognitive-Theory-of-Multimedia-Learning" TargetMode="External"/><Relationship Id="rId33" Type="http://schemas.openxmlformats.org/officeDocument/2006/relationships/hyperlink" Target="https://pure.psu.edu/en/publications/how-the-design-of-presentation-slides-affects-audience-comprehens/" TargetMode="External"/><Relationship Id="rId32" Type="http://schemas.openxmlformats.org/officeDocument/2006/relationships/hyperlink" Target="https://ptgmedia.pearsoncmg.com/images/9780321934154/samplepages/0321934156.pdf" TargetMode="External"/><Relationship Id="rId35" Type="http://schemas.openxmlformats.org/officeDocument/2006/relationships/hyperlink" Target="https://www.researchgate.net/publication/286042632_How_the_Design_of_Presentation_Slides_Affects_Audience_Comprehension_A_Case_for_the_Assertion-Evidence_Approach" TargetMode="External"/><Relationship Id="rId34" Type="http://schemas.openxmlformats.org/officeDocument/2006/relationships/hyperlink" Target="https://www.semanticscholar.org/paper/How-the-design-of-presentation-slides-affects-A-for-Garner-Alley/c44e5deb4f3b8f35eb5d427cacfc07038dd53416" TargetMode="External"/><Relationship Id="rId37" Type="http://schemas.openxmlformats.org/officeDocument/2006/relationships/hyperlink" Target="https://www.fredericksberlin.com/digest/u85XC7T27ZXI/presentation_zen_garr-reynolds" TargetMode="External"/><Relationship Id="rId36" Type="http://schemas.openxmlformats.org/officeDocument/2006/relationships/hyperlink" Target="https://er.educause.edu/articles/2024/8/augmented-course-design-using-ai-to-boost-efficiency-and-expand-capacity" TargetMode="External"/><Relationship Id="rId39" Type="http://schemas.openxmlformats.org/officeDocument/2006/relationships/hyperlink" Target="https://www.socialectric.com/insights/accessible-fonts-nonprofits" TargetMode="External"/><Relationship Id="rId38" Type="http://schemas.openxmlformats.org/officeDocument/2006/relationships/hyperlink" Target="https://yoniekomputer.wordpress.com/wp-content/uploads/2016/07/presentation_zen_design__simple_design_principles_and_techniques_to_enhance_your_presentations.pdf" TargetMode="External"/><Relationship Id="rId62" Type="http://schemas.openxmlformats.org/officeDocument/2006/relationships/hyperlink" Target="https://www.regulations.gov/document/COLC-2023-0006-0001" TargetMode="External"/><Relationship Id="rId61" Type="http://schemas.openxmlformats.org/officeDocument/2006/relationships/hyperlink" Target="https://www.skadden.com/insights/publications/2025/02/copyright-office-publishes-report" TargetMode="External"/><Relationship Id="rId20" Type="http://schemas.openxmlformats.org/officeDocument/2006/relationships/hyperlink" Target="https://digitalcommons.odu.edu/cgi/viewcontent.cgi?article=1002&amp;context=instructional_message_design" TargetMode="External"/><Relationship Id="rId64" Type="http://schemas.openxmlformats.org/officeDocument/2006/relationships/hyperlink" Target="https://www.bath.ac.uk/announcements/new-principles-agreed-for-using-generative-artificial-intelligence-in-education/" TargetMode="External"/><Relationship Id="rId63" Type="http://schemas.openxmlformats.org/officeDocument/2006/relationships/hyperlink" Target="https://www.copyright.gov/ai/ai_policy_guidance.pdf" TargetMode="External"/><Relationship Id="rId22" Type="http://schemas.openxmlformats.org/officeDocument/2006/relationships/hyperlink" Target="https://www.gssrr.org/JournalOfBasicAndApplied/article/download/13392/6186/40228" TargetMode="External"/><Relationship Id="rId21" Type="http://schemas.openxmlformats.org/officeDocument/2006/relationships/hyperlink" Target="https://www.garrreynolds.com/design-tips" TargetMode="External"/><Relationship Id="rId65" Type="http://schemas.openxmlformats.org/officeDocument/2006/relationships/hyperlink" Target="https://arxiv.org/html/2605.13532v1" TargetMode="External"/><Relationship Id="rId24" Type="http://schemas.openxmlformats.org/officeDocument/2006/relationships/hyperlink" Target="https://pressbooks.lib.vt.edu/higheredk12collaborationtoolkit/chapter/5-copyright-part-ii/" TargetMode="External"/><Relationship Id="rId23" Type="http://schemas.openxmlformats.org/officeDocument/2006/relationships/hyperlink" Target="https://2slides.com/blog/ai-presentation-accessibility-creating-inclusive-slides" TargetMode="External"/><Relationship Id="rId60" Type="http://schemas.openxmlformats.org/officeDocument/2006/relationships/hyperlink" Target="https://www.researchgate.net/publication/384328038_GUIDANCE_FOR_GENERATIVE_AI_IN_EDUCATION_AND_RESEARCH_FOR_TEACHERS" TargetMode="External"/><Relationship Id="rId26" Type="http://schemas.openxmlformats.org/officeDocument/2006/relationships/hyperlink" Target="https://usavrsavanje.loomen.carnet.hr/mod/book/tool/print/index.php?id=172012" TargetMode="External"/><Relationship Id="rId25" Type="http://schemas.openxmlformats.org/officeDocument/2006/relationships/hyperlink" Target="https://www.studocu.vn/vn/document/truong-dai-hoc-cong-nghe-va-quan-ly-huu-nghi/phuong-phap-nghien-cuu/386693-eng-jebrfsido/113852613" TargetMode="External"/><Relationship Id="rId28" Type="http://schemas.openxmlformats.org/officeDocument/2006/relationships/hyperlink" Target="https://www.cambridge.org/core/books/cambridge-handbook-of-multimedia-learning/cognitive-theory-of-multimedia-learning/24E5AEDEC8F4137E37E15BD2BCA91326" TargetMode="External"/><Relationship Id="rId27" Type="http://schemas.openxmlformats.org/officeDocument/2006/relationships/hyperlink" Target="https://digital.sandiego.edu/context/dissertations/article/2104/viewcontent/Simmons___Generative_AI_and_Student_Engagement__Motivation__and_Learning.pdf" TargetMode="External"/><Relationship Id="rId29" Type="http://schemas.openxmlformats.org/officeDocument/2006/relationships/hyperlink" Target="https://www.ijee.ie/articles/Vol29-6/23_ijee2791ns.pdf" TargetMode="External"/><Relationship Id="rId51" Type="http://schemas.openxmlformats.org/officeDocument/2006/relationships/hyperlink" Target="https://www.researchgate.net/publication/387656896_AI_as_designated_designer_Training_public-speaking_students_to_use_Beautifulai_for_their_slide_presentations" TargetMode="External"/><Relationship Id="rId50" Type="http://schemas.openxmlformats.org/officeDocument/2006/relationships/hyperlink" Target="https://www.russellgroup.ac.uk/sites/default/files/2025-01/Russell%20Group%20principles%20on%20generative%20AI%20in%20education.pdf" TargetMode="External"/><Relationship Id="rId53" Type="http://schemas.openxmlformats.org/officeDocument/2006/relationships/hyperlink" Target="https://www.studocu.vn/vn/document/truong-dai-hoc-bach-khoa-dai-hoc-quoc-gia-thanh-pho-ho-chi-minh/tai-lieu-tong-hop/russell-group-2023-aiprinciples-education/175386909" TargetMode="External"/><Relationship Id="rId52" Type="http://schemas.openxmlformats.org/officeDocument/2006/relationships/hyperlink" Target="https://www.emerald.com/books/edited-volume/17219/chapter/94200806/A-Practical-Study-of-Generative-AI-Tools-for" TargetMode="External"/><Relationship Id="rId11" Type="http://schemas.openxmlformats.org/officeDocument/2006/relationships/image" Target="media/image8.png"/><Relationship Id="rId55" Type="http://schemas.openxmlformats.org/officeDocument/2006/relationships/hyperlink" Target="https://www.iicba.unesco.org/ar/africa-education-knowledge-platform/guidance-generative-ai-education-and-research" TargetMode="External"/><Relationship Id="rId10" Type="http://schemas.openxmlformats.org/officeDocument/2006/relationships/image" Target="media/image3.png"/><Relationship Id="rId54" Type="http://schemas.openxmlformats.org/officeDocument/2006/relationships/hyperlink" Target="https://gcedclearinghouse.org/en/node/129341" TargetMode="External"/><Relationship Id="rId13" Type="http://schemas.openxmlformats.org/officeDocument/2006/relationships/image" Target="media/image6.png"/><Relationship Id="rId57" Type="http://schemas.openxmlformats.org/officeDocument/2006/relationships/hyperlink" Target="https://medium.com/@jolindsaywalton/on-the-russell-group-principles-on-ai-in-education-b1065c26eff8" TargetMode="External"/><Relationship Id="rId12" Type="http://schemas.openxmlformats.org/officeDocument/2006/relationships/image" Target="media/image7.png"/><Relationship Id="rId56" Type="http://schemas.openxmlformats.org/officeDocument/2006/relationships/hyperlink" Target="https://teachertaskforce.org/knowledge-hub/guidance-generative-ai-education-and-research" TargetMode="External"/><Relationship Id="rId15" Type="http://schemas.openxmlformats.org/officeDocument/2006/relationships/image" Target="media/image9.png"/><Relationship Id="rId59" Type="http://schemas.openxmlformats.org/officeDocument/2006/relationships/hyperlink" Target="https://todoele.net/bibliografia/russell-group-principles-use-generative-ai-tools-education" TargetMode="External"/><Relationship Id="rId14" Type="http://schemas.openxmlformats.org/officeDocument/2006/relationships/image" Target="media/image10.png"/><Relationship Id="rId58" Type="http://schemas.openxmlformats.org/officeDocument/2006/relationships/hyperlink" Target="https://www.russellgroup.ac.uk/policy/policy-briefings/principles-use-generative-ai-tools-education" TargetMode="External"/><Relationship Id="rId17" Type="http://schemas.openxmlformats.org/officeDocument/2006/relationships/hyperlink" Target="https://www.researchgate.net/publication/344533171_Assertion-Evidence_Slides_Appear_to_Lead_to_Better_Comprehension_and_Recall_of_More_Complex_Concepts" TargetMode="External"/><Relationship Id="rId16" Type="http://schemas.openxmlformats.org/officeDocument/2006/relationships/hyperlink" Target="https://edtechbooks.org/jaid_11_4/gqofZtoi" TargetMode="External"/><Relationship Id="rId19" Type="http://schemas.openxmlformats.org/officeDocument/2006/relationships/hyperlink" Target="https://pmc.ncbi.nlm.nih.gov/articles/PMC12246501/" TargetMode="External"/><Relationship Id="rId18" Type="http://schemas.openxmlformats.org/officeDocument/2006/relationships/hyperlink" Target="https://peer.asee.org/assertion-evidence-slides-appear-to-lead-to-better-comprehension-and-recall-of-more-complex-concept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