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1B62" w14:textId="77777777" w:rsidR="00E72D07" w:rsidRDefault="00491E0E">
      <w:pPr>
        <w:spacing w:before="800" w:after="400"/>
        <w:jc w:val="center"/>
      </w:pPr>
      <w:r>
        <w:rPr>
          <w:b/>
          <w:bCs/>
          <w:color w:val="1F4E79"/>
          <w:sz w:val="36"/>
          <w:szCs w:val="36"/>
        </w:rPr>
        <w:t>Survival Analysis and Prediction Models for Tuberculosis Treatment Outcomes</w:t>
      </w:r>
    </w:p>
    <w:p w14:paraId="7FD64D6C" w14:textId="77777777" w:rsidR="00E72D07" w:rsidRDefault="00491E0E">
      <w:pPr>
        <w:spacing w:after="200"/>
        <w:jc w:val="center"/>
      </w:pPr>
      <w:r>
        <w:rPr>
          <w:i/>
          <w:iCs/>
          <w:color w:val="2F5496"/>
          <w:sz w:val="24"/>
          <w:szCs w:val="24"/>
        </w:rPr>
        <w:t>A Retrospective Cohort Study of 912 Pulmonary Tuberculosis Patients</w:t>
      </w:r>
    </w:p>
    <w:p w14:paraId="5B652BBB" w14:textId="77777777" w:rsidR="00E72D07" w:rsidRDefault="00491E0E">
      <w:pPr>
        <w:spacing w:after="100"/>
        <w:jc w:val="center"/>
      </w:pPr>
      <w:r>
        <w:rPr>
          <w:b/>
          <w:bCs/>
          <w:sz w:val="22"/>
          <w:szCs w:val="22"/>
        </w:rPr>
        <w:t>Duc Du, MD, MSc, PhD(c)</w:t>
      </w:r>
    </w:p>
    <w:p w14:paraId="534B9CBE" w14:textId="77777777" w:rsidR="00E72D07" w:rsidRDefault="00491E0E">
      <w:pPr>
        <w:spacing w:after="80"/>
        <w:jc w:val="center"/>
      </w:pPr>
      <w:r>
        <w:t>Hospital of Tropical Diseases, Ho Chi Minh City, Vietnam</w:t>
      </w:r>
    </w:p>
    <w:p w14:paraId="16C90FE0" w14:textId="0347005B" w:rsidR="00E72D07" w:rsidRDefault="00491E0E">
      <w:pPr>
        <w:spacing w:after="80"/>
        <w:jc w:val="center"/>
      </w:pPr>
      <w:r>
        <w:rPr>
          <w:i/>
          <w:iCs/>
        </w:rPr>
        <w:t xml:space="preserve">Correspondence: </w:t>
      </w:r>
      <w:hyperlink r:id="rId7" w:history="1">
        <w:r w:rsidR="00F17D09" w:rsidRPr="00A567F3">
          <w:rPr>
            <w:rStyle w:val="Hyperlink"/>
            <w:i/>
            <w:iCs/>
          </w:rPr>
          <w:t>duc.du@oucru.org</w:t>
        </w:r>
      </w:hyperlink>
      <w:r w:rsidR="00F17D09">
        <w:rPr>
          <w:i/>
          <w:iCs/>
        </w:rPr>
        <w:t xml:space="preserve"> </w:t>
      </w:r>
    </w:p>
    <w:p w14:paraId="3A72B89A" w14:textId="77777777" w:rsidR="00E72D07" w:rsidRDefault="00491E0E">
      <w:pPr>
        <w:spacing w:after="400"/>
        <w:jc w:val="center"/>
      </w:pPr>
      <w:r>
        <w:t>Version: June 2026</w:t>
      </w:r>
    </w:p>
    <w:p w14:paraId="5E20B693" w14:textId="77777777" w:rsidR="00E72D07" w:rsidRDefault="00491E0E">
      <w:r>
        <w:br w:type="page"/>
      </w:r>
    </w:p>
    <w:p w14:paraId="2808FBF2" w14:textId="77777777" w:rsidR="00E72D07" w:rsidRDefault="00491E0E">
      <w:pPr>
        <w:pStyle w:val="Heading1"/>
      </w:pPr>
      <w:r>
        <w:lastRenderedPageBreak/>
        <w:t>Abstract</w:t>
      </w:r>
    </w:p>
    <w:p w14:paraId="7BB644E2" w14:textId="77777777" w:rsidR="00E72D07" w:rsidRDefault="00491E0E">
      <w:pPr>
        <w:spacing w:after="160" w:line="276" w:lineRule="auto"/>
        <w:jc w:val="both"/>
      </w:pPr>
      <w:r>
        <w:rPr>
          <w:color w:val="000000"/>
        </w:rPr>
        <w:t>Background: Tuberculosis (TB) remains a leading cause of infectious disease mortality worldwide. Comparing treatment outcomes acros</w:t>
      </w:r>
      <w:r>
        <w:rPr>
          <w:color w:val="000000"/>
        </w:rPr>
        <w:t>s multiple regimens and identifying clinical predictors is essential for optimizing TB management.</w:t>
      </w:r>
    </w:p>
    <w:p w14:paraId="1A7D875E" w14:textId="77777777" w:rsidR="00E72D07" w:rsidRDefault="00491E0E">
      <w:pPr>
        <w:spacing w:after="160" w:line="276" w:lineRule="auto"/>
        <w:jc w:val="both"/>
      </w:pPr>
      <w:r>
        <w:rPr>
          <w:color w:val="000000"/>
        </w:rPr>
        <w:t>Methods: This retrospective cohort study enrolled 912 pulmonary TB patients receiving one of four standardized treatment regimens (6-month, 8-month, 9-month,</w:t>
      </w:r>
      <w:r>
        <w:rPr>
          <w:color w:val="000000"/>
        </w:rPr>
        <w:t xml:space="preserve"> 20-month) at the Hospital of Tropical Diseases, Ho Chi Minh City, Vietnam. The primary endpoint was sputum culture conversion. Kaplan-Meier curves and log-rank tests were used to estimate time-to-conversion. Restricted mean survival time (RMST) and Fine-G</w:t>
      </w:r>
      <w:r>
        <w:rPr>
          <w:color w:val="000000"/>
        </w:rPr>
        <w:t>ray competing-risks models assessed cumulative incidence. Multivariable logistic regression with multiple imputation (50 imputations) and bootstrap internal validation (200 resamples) identified independent predictors of unfavorable treatment outcomes. Pre</w:t>
      </w:r>
      <w:r>
        <w:rPr>
          <w:color w:val="000000"/>
        </w:rPr>
        <w:t>diction models were developed using LASSO and stepwise AIC selection; performance was evaluated by area under the receiver-operating characteristic curve (AUC) and Brier score.</w:t>
      </w:r>
    </w:p>
    <w:p w14:paraId="5CBEDEF6" w14:textId="77777777" w:rsidR="00E72D07" w:rsidRDefault="00491E0E">
      <w:pPr>
        <w:spacing w:after="160" w:line="276" w:lineRule="auto"/>
        <w:jc w:val="both"/>
      </w:pPr>
      <w:r>
        <w:rPr>
          <w:color w:val="000000"/>
        </w:rPr>
        <w:t>Results: Among 912 patients, 523 (57.3%) received the 6-month regimen, 225 (24.</w:t>
      </w:r>
      <w:r>
        <w:rPr>
          <w:color w:val="000000"/>
        </w:rPr>
        <w:t>7%) the 9-month, 87 (9.5%) the 20-month, and 77 (8.4%) the 8-month regimen. Culture conversion rates and time-to-conversion varied significantly by regimen (p &lt; 0.001). In multivariable analysis, older age, HIV co-infection, anemia, higher neutrophil-to-ly</w:t>
      </w:r>
      <w:r>
        <w:rPr>
          <w:color w:val="000000"/>
        </w:rPr>
        <w:t>mphocyte ratio, higher Timika score, and prolonged illness duration were independent predictors of unfavorable outcome. The LASSO-selected model achieved a mean AUC of approximately 0.78 (95% CI: 0.70–0.85) with good calibration.</w:t>
      </w:r>
    </w:p>
    <w:p w14:paraId="217C7DF4" w14:textId="77777777" w:rsidR="00E72D07" w:rsidRDefault="00491E0E">
      <w:pPr>
        <w:spacing w:after="160" w:line="276" w:lineRule="auto"/>
        <w:jc w:val="both"/>
      </w:pPr>
      <w:r>
        <w:rPr>
          <w:color w:val="000000"/>
        </w:rPr>
        <w:t>Conclusions: Treatment reg</w:t>
      </w:r>
      <w:r>
        <w:rPr>
          <w:color w:val="000000"/>
        </w:rPr>
        <w:t>imen, clinical severity scores, and host immune markers are key determinants of TB treatment outcome. Nomogram-based prediction tools integrating these factors may aid clinicians in risk stratification and individualized management.</w:t>
      </w:r>
    </w:p>
    <w:p w14:paraId="3FF8B369" w14:textId="77777777" w:rsidR="00E72D07" w:rsidRDefault="00E72D07">
      <w:pPr>
        <w:spacing w:after="100"/>
      </w:pPr>
    </w:p>
    <w:p w14:paraId="43079EB5" w14:textId="77777777" w:rsidR="00E72D07" w:rsidRDefault="00491E0E">
      <w:pPr>
        <w:spacing w:after="160"/>
      </w:pPr>
      <w:r>
        <w:rPr>
          <w:b/>
          <w:bCs/>
        </w:rPr>
        <w:t xml:space="preserve">Keywords: </w:t>
      </w:r>
      <w:r>
        <w:rPr>
          <w:i/>
          <w:iCs/>
        </w:rPr>
        <w:t>tuberculosis</w:t>
      </w:r>
      <w:r>
        <w:rPr>
          <w:i/>
          <w:iCs/>
        </w:rPr>
        <w:t>; treatment outcomes; survival analysis; culture conversion; Kaplan-Meier; Cox regression; RMST; competing risks; prediction model; LASSO; Vietnam</w:t>
      </w:r>
    </w:p>
    <w:p w14:paraId="16605E3F" w14:textId="77777777" w:rsidR="00E72D07" w:rsidRDefault="00491E0E">
      <w:r>
        <w:br w:type="page"/>
      </w:r>
    </w:p>
    <w:p w14:paraId="0A0C5E39" w14:textId="77777777" w:rsidR="00E72D07" w:rsidRDefault="00491E0E">
      <w:pPr>
        <w:pStyle w:val="Heading1"/>
      </w:pPr>
      <w:r>
        <w:t>1. Introduction</w:t>
      </w:r>
    </w:p>
    <w:p w14:paraId="17876130" w14:textId="77777777" w:rsidR="00E72D07" w:rsidRDefault="00491E0E">
      <w:pPr>
        <w:spacing w:after="160" w:line="276" w:lineRule="auto"/>
        <w:jc w:val="both"/>
      </w:pPr>
      <w:r>
        <w:rPr>
          <w:color w:val="000000"/>
        </w:rPr>
        <w:t>Tuberculosis (TB) remains one of the most dangerous infectious diseases globally, with a pe</w:t>
      </w:r>
      <w:r>
        <w:rPr>
          <w:color w:val="000000"/>
        </w:rPr>
        <w:t>rsistently high burden of morbidity and mortality. According to the World Health Organization (WHO), in 2023 an estimated 10.8 million people developed TB worldwide, of whom approximately 8.2 million cases were newly diagnosed—the highest number recorded s</w:t>
      </w:r>
      <w:r>
        <w:rPr>
          <w:color w:val="000000"/>
        </w:rPr>
        <w:t>ince WHO began global TB surveillance in 1995 [1]. This increase not only reflects the substantial disease burden but also indicates notable recovery in case detection following COVID-19 pandemic disruptions. Despite these improvements, an estimated 3 mill</w:t>
      </w:r>
      <w:r>
        <w:rPr>
          <w:color w:val="000000"/>
        </w:rPr>
        <w:t>ion people with TB remain undiagnosed, representing a significant hidden reservoir of infection.</w:t>
      </w:r>
    </w:p>
    <w:p w14:paraId="3FA835EB" w14:textId="77777777" w:rsidR="00E72D07" w:rsidRDefault="00491E0E">
      <w:pPr>
        <w:spacing w:after="160" w:line="276" w:lineRule="auto"/>
        <w:jc w:val="both"/>
      </w:pPr>
      <w:r>
        <w:rPr>
          <w:color w:val="000000"/>
        </w:rPr>
        <w:t>In terms of mortality, TB-related deaths slightly declined from 1.32 million in 2022 to 1.25 million in 2023. Nevertheless, TB continues to be the leading caus</w:t>
      </w:r>
      <w:r>
        <w:rPr>
          <w:color w:val="000000"/>
        </w:rPr>
        <w:t>e of death from a single infectious disease, surpassing COVID-19 [1]. The global TB burden is highly inequitable, with over 80% of cases and deaths concentrated in low- and middle-income countries, highlighting the social determinants of health and inequit</w:t>
      </w:r>
      <w:r>
        <w:rPr>
          <w:color w:val="000000"/>
        </w:rPr>
        <w:t>ies in access to care.</w:t>
      </w:r>
    </w:p>
    <w:p w14:paraId="33295D27" w14:textId="77777777" w:rsidR="00E72D07" w:rsidRDefault="00491E0E">
      <w:pPr>
        <w:spacing w:after="160" w:line="276" w:lineRule="auto"/>
        <w:jc w:val="both"/>
      </w:pPr>
      <w:r>
        <w:rPr>
          <w:color w:val="000000"/>
        </w:rPr>
        <w:t>TB treatment relies on standardized regimens tailored to the drug-susceptibility profile of Mycobacterium tuberculosis and patient treatment history. The standard 6-month short-course regimen (2HRZE/4HR) remains the cornerstone for d</w:t>
      </w:r>
      <w:r>
        <w:rPr>
          <w:color w:val="000000"/>
        </w:rPr>
        <w:t>rug-susceptible TB (DS-TB), achieving cure rates exceeding 85–90% in clinical trials [2,3]. However, the emergence and global spread of drug-resistant TB—particularly multidrug-resistant TB (MDR-TB) and extensively drug-resistant TB (XDR-TB)—have posed for</w:t>
      </w:r>
      <w:r>
        <w:rPr>
          <w:color w:val="000000"/>
        </w:rPr>
        <w:t>midable challenges. MDR-TB regimens historically required 18–24 months of treatment with high rates of adverse effects and limited efficacy [4].</w:t>
      </w:r>
    </w:p>
    <w:p w14:paraId="54E76068" w14:textId="77777777" w:rsidR="00E72D07" w:rsidRDefault="00491E0E">
      <w:pPr>
        <w:spacing w:after="160" w:line="276" w:lineRule="auto"/>
        <w:jc w:val="both"/>
      </w:pPr>
      <w:r>
        <w:rPr>
          <w:color w:val="000000"/>
        </w:rPr>
        <w:t>Recent landmark advances in TB treatment have transformed the landscape of drug-resistant TB (DR-TB) management</w:t>
      </w:r>
      <w:r>
        <w:rPr>
          <w:color w:val="000000"/>
        </w:rPr>
        <w:t>. The WHO 2022 consolidated guidelines for DR-TB treatment endorsed two new regimens: (1) the 6-month BPaLM regimen (bedaquiline, pretomanid, linezolid 600 mg, moxifloxacin) for patients with MDR/RR-TB and pre-XDR-TB; and (2) a revised 9-month all-oral reg</w:t>
      </w:r>
      <w:r>
        <w:rPr>
          <w:color w:val="000000"/>
        </w:rPr>
        <w:t>imen for MDR/RR-TB without fluoroquinolone resistance [5]. In 2024, additional evidence from the BEAT-TB and endTB clinical trials further supported modifications to these regimens, providing new data on the use of clofazimine-based combinations [6]. The A</w:t>
      </w:r>
      <w:r>
        <w:rPr>
          <w:color w:val="000000"/>
        </w:rPr>
        <w:t>TS/CDC/ERS/IDSA 2025 updated guidelines adapted these WHO recommendations for clinical practice [7].</w:t>
      </w:r>
    </w:p>
    <w:p w14:paraId="4B6A5B4F" w14:textId="77777777" w:rsidR="00E72D07" w:rsidRDefault="00491E0E">
      <w:pPr>
        <w:spacing w:after="160" w:line="276" w:lineRule="auto"/>
        <w:jc w:val="both"/>
      </w:pPr>
      <w:r>
        <w:rPr>
          <w:color w:val="000000"/>
        </w:rPr>
        <w:t>Vietnam is among the 30 high TB burden countries and faces a dual challenge of both DS-TB and DR-TB [1]. Understanding treatment outcomes across the variou</w:t>
      </w:r>
      <w:r>
        <w:rPr>
          <w:color w:val="000000"/>
        </w:rPr>
        <w:t>s regimens used in Vietnamese clinical practice—which include both the legacy 9-month injectable-based MDR-TB regimen and the 20-month conventional regimen—is critical for informing national TB program policy transitions toward WHO-recommended newer regime</w:t>
      </w:r>
      <w:r>
        <w:rPr>
          <w:color w:val="000000"/>
        </w:rPr>
        <w:t>ns.</w:t>
      </w:r>
    </w:p>
    <w:p w14:paraId="4A3DC442" w14:textId="77777777" w:rsidR="00E72D07" w:rsidRDefault="00491E0E">
      <w:pPr>
        <w:spacing w:after="160" w:line="276" w:lineRule="auto"/>
        <w:jc w:val="both"/>
      </w:pPr>
      <w:r>
        <w:rPr>
          <w:color w:val="000000"/>
        </w:rPr>
        <w:t>In medical research, the treatment regimen can be considered the central intervention variable, but treatment outcomes are also profoundly influenced by patient characteristics. These encompass demographic features, nutritional status, comorbidities (H</w:t>
      </w:r>
      <w:r>
        <w:rPr>
          <w:color w:val="000000"/>
        </w:rPr>
        <w:t xml:space="preserve">IV/AIDS, diabetes mellitus), behavioral factors (smoking, alcohol use), microbiological findings (GeneXpert, drug-susceptibility testing), laboratory parameters (hemoglobin, neutrophil-to-lymphocyte ratio, albumin), radiological severity (cavitation, lung </w:t>
      </w:r>
      <w:r>
        <w:rPr>
          <w:color w:val="000000"/>
        </w:rPr>
        <w:t>involvement), and clinical severity scores (Timika score). Ignoring these differences when comparing regimens leads to bias and inaccurate conclusions.</w:t>
      </w:r>
    </w:p>
    <w:p w14:paraId="3E9EFAA8" w14:textId="77777777" w:rsidR="00E72D07" w:rsidRDefault="00491E0E">
      <w:pPr>
        <w:spacing w:after="160" w:line="276" w:lineRule="auto"/>
        <w:jc w:val="both"/>
      </w:pPr>
      <w:r>
        <w:rPr>
          <w:color w:val="000000"/>
        </w:rPr>
        <w:t>Survival analysis methods offer a rigorous framework for time-to-event data in TB research. Kaplan-Meier estimation and log-rank tests describe unadjusted survival probabilities; Cox proportional hazards regression allows covariate adjustment; restricted m</w:t>
      </w:r>
      <w:r>
        <w:rPr>
          <w:color w:val="000000"/>
        </w:rPr>
        <w:t xml:space="preserve">ean survival time (RMST) provides an absolute, clinically interpretable measure of treatment effect without assuming proportional hazards; and Fine-Gray competing-risks models appropriately account for mortality as a competing event when analyzing culture </w:t>
      </w:r>
      <w:r>
        <w:rPr>
          <w:color w:val="000000"/>
        </w:rPr>
        <w:t>conversion [8–10].</w:t>
      </w:r>
    </w:p>
    <w:p w14:paraId="7402E156" w14:textId="77777777" w:rsidR="00E72D07" w:rsidRDefault="00491E0E">
      <w:pPr>
        <w:spacing w:after="160" w:line="276" w:lineRule="auto"/>
        <w:jc w:val="both"/>
      </w:pPr>
      <w:r>
        <w:rPr>
          <w:color w:val="000000"/>
        </w:rPr>
        <w:t xml:space="preserve">The specific objectives of this study were: (1) to describe the demographic, clinical, and laboratory profiles of TB patients under four different treatment regimens; (2) to determine risk factors and timing associated with TB treatment </w:t>
      </w:r>
      <w:r>
        <w:rPr>
          <w:color w:val="000000"/>
        </w:rPr>
        <w:t>outcomes using survival analysis; and (3) to develop and internally validate prediction models for TB treatment outcomes using logistic regression with LASSO and AIC-based variable selection.</w:t>
      </w:r>
    </w:p>
    <w:p w14:paraId="2D8B8612" w14:textId="77777777" w:rsidR="00E72D07" w:rsidRDefault="00491E0E">
      <w:pPr>
        <w:pStyle w:val="Heading1"/>
      </w:pPr>
      <w:r>
        <w:t>2. Tuberculosis Treatment Regimens</w:t>
      </w:r>
    </w:p>
    <w:p w14:paraId="5CA334AF" w14:textId="77777777" w:rsidR="00E72D07" w:rsidRDefault="00491E0E">
      <w:pPr>
        <w:spacing w:after="160" w:line="276" w:lineRule="auto"/>
        <w:jc w:val="both"/>
      </w:pPr>
      <w:r>
        <w:rPr>
          <w:color w:val="000000"/>
        </w:rPr>
        <w:t>In clinical practice, TB trea</w:t>
      </w:r>
      <w:r>
        <w:rPr>
          <w:color w:val="000000"/>
        </w:rPr>
        <w:t>tment is carried out using standardized regimens tailored to the drug-susceptibility profile of Mycobacterium tuberculosis and the patient's treatment history. In this study, patients were classified into one of four regimens in accordance with Vietnam nat</w:t>
      </w:r>
      <w:r>
        <w:rPr>
          <w:color w:val="000000"/>
        </w:rPr>
        <w:t>ional TB programme guidelines and WHO recommendations.</w:t>
      </w:r>
    </w:p>
    <w:p w14:paraId="7C28F6BC" w14:textId="77777777" w:rsidR="00E72D07" w:rsidRDefault="00491E0E">
      <w:pPr>
        <w:pStyle w:val="Heading2"/>
      </w:pPr>
      <w:r>
        <w:t>2.1 Six-Month Regimen (2HRZE/4HR[E])</w:t>
      </w:r>
    </w:p>
    <w:p w14:paraId="4A8E9058" w14:textId="77777777" w:rsidR="00E72D07" w:rsidRDefault="00491E0E">
      <w:pPr>
        <w:spacing w:after="160" w:line="276" w:lineRule="auto"/>
        <w:jc w:val="both"/>
      </w:pPr>
      <w:r>
        <w:rPr>
          <w:color w:val="000000"/>
        </w:rPr>
        <w:t xml:space="preserve">The 6-month regimen is primarily indicated for newly diagnosed DS-TB patients—those who have never received TB treatment or who have been treated for less than one </w:t>
      </w:r>
      <w:r>
        <w:rPr>
          <w:color w:val="000000"/>
        </w:rPr>
        <w:t>month. The intensive phase consists of 2 months of four first-line drugs: rifampicin (R), isoniazid (H), pyrazinamide (Z), and ethambutol (E), followed by a continuation phase of 4 months with R, H, and E. In pediatric cases, ethambutol is excluded from th</w:t>
      </w:r>
      <w:r>
        <w:rPr>
          <w:color w:val="000000"/>
        </w:rPr>
        <w:t>e continuation phase. This short-course regimen achieves cure rates of 85–95% for fully drug-susceptible TB and remains the WHO standard recommendation [2,3]. The 2025 ATS/CDC/ERS/IDSA guidelines confirm the 6-month regimen (2HRZE/4HR) as first-line treatm</w:t>
      </w:r>
      <w:r>
        <w:rPr>
          <w:color w:val="000000"/>
        </w:rPr>
        <w:t>ent for DS-TB in adults and children [7].</w:t>
      </w:r>
    </w:p>
    <w:p w14:paraId="5A445828" w14:textId="77777777" w:rsidR="00E72D07" w:rsidRDefault="00491E0E">
      <w:pPr>
        <w:pStyle w:val="Heading2"/>
      </w:pPr>
      <w:r>
        <w:t>2.2 Eight-Month Regimen (2SHRZE/1HRZE/5HR[E])</w:t>
      </w:r>
    </w:p>
    <w:p w14:paraId="0AF6EEB8" w14:textId="77777777" w:rsidR="00E72D07" w:rsidRDefault="00491E0E">
      <w:pPr>
        <w:spacing w:after="160" w:line="276" w:lineRule="auto"/>
        <w:jc w:val="both"/>
      </w:pPr>
      <w:r>
        <w:rPr>
          <w:color w:val="000000"/>
        </w:rPr>
        <w:t xml:space="preserve">The 8-month regimen is prescribed for previously treated patients (relapse, treatment after failure, treatment after loss to follow-up, or unknown history) in settings </w:t>
      </w:r>
      <w:r>
        <w:rPr>
          <w:color w:val="000000"/>
        </w:rPr>
        <w:t>without access to rapid drug-resistance testing, or when such testing has excluded multidrug resistance. This regimen comprises an intensive phase of 3 months: the first 2 months with five drugs (streptomycin [S], R, H, Z, E), followed by 1 month with four</w:t>
      </w:r>
      <w:r>
        <w:rPr>
          <w:color w:val="000000"/>
        </w:rPr>
        <w:t xml:space="preserve"> drugs (R, H, Z, E). The continuation phase lasts 5 months with R, H, and E, administered either daily or intermittently three times per week [2]. In resource-limited settings where newer regimens are not yet available, this retreatment regimen remains the</w:t>
      </w:r>
      <w:r>
        <w:rPr>
          <w:color w:val="000000"/>
        </w:rPr>
        <w:t xml:space="preserve"> standard option.</w:t>
      </w:r>
    </w:p>
    <w:p w14:paraId="3E30C9CF" w14:textId="77777777" w:rsidR="00E72D07" w:rsidRDefault="00491E0E">
      <w:pPr>
        <w:pStyle w:val="Heading2"/>
      </w:pPr>
      <w:r>
        <w:t>2.3 Nine-Month Regimen (4–6 Km-Lfx-Pto-Cfz-Z-Hh-E / 5 Lfx-Cfz-Z-E)</w:t>
      </w:r>
    </w:p>
    <w:p w14:paraId="70BAD02E" w14:textId="77777777" w:rsidR="00E72D07" w:rsidRDefault="00491E0E">
      <w:pPr>
        <w:spacing w:after="160" w:line="276" w:lineRule="auto"/>
        <w:jc w:val="both"/>
      </w:pPr>
      <w:r>
        <w:rPr>
          <w:color w:val="000000"/>
        </w:rPr>
        <w:t>For patients diagnosed with pulmonary MDR/RR-TB without prior exposure to second-line drugs, the shortened 9-month all-oral regimen is recommended. Per the 2022 WHO consol</w:t>
      </w:r>
      <w:r>
        <w:rPr>
          <w:color w:val="000000"/>
        </w:rPr>
        <w:t>idated guidelines [5], this regimen is indicated when fluoroquinolone resistance has been excluded. The intensive phase of 4–6 months includes: kanamycin (Km) or an alternative injectable, levofloxacin (Lfx), prothionamide (Pto), clofazimine (Cfz), pyrazin</w:t>
      </w:r>
      <w:r>
        <w:rPr>
          <w:color w:val="000000"/>
        </w:rPr>
        <w:t>amide (Z), high-dose isoniazid (Hh), and ethambutol (E). The continuation phase of 5 months consists of Lfx, Cfz, Z, and E. The 2022 WHO update established that this all-oral 9-month regimen achieves treatment success rates of approximately 75–80%, superio</w:t>
      </w:r>
      <w:r>
        <w:rPr>
          <w:color w:val="000000"/>
        </w:rPr>
        <w:t>r to longer conventional regimens [5]. The 2024 WHO update further refined eligibility criteria based on the endTB trial results [6].</w:t>
      </w:r>
    </w:p>
    <w:p w14:paraId="49D16793" w14:textId="77777777" w:rsidR="00E72D07" w:rsidRDefault="00491E0E">
      <w:pPr>
        <w:pStyle w:val="Heading2"/>
      </w:pPr>
      <w:r>
        <w:t>2.4 Twenty-Month Regimen (8 Km-Lfx-Pto-Cs-Z / 12 Lfx-Pto-Cs-Z)</w:t>
      </w:r>
    </w:p>
    <w:p w14:paraId="017F5DC7" w14:textId="77777777" w:rsidR="00E72D07" w:rsidRDefault="00491E0E">
      <w:pPr>
        <w:spacing w:after="160" w:line="276" w:lineRule="auto"/>
        <w:jc w:val="both"/>
      </w:pPr>
      <w:r>
        <w:rPr>
          <w:color w:val="000000"/>
        </w:rPr>
        <w:t>For patients with MDR/RR-TB ineligible for the shortened 9-</w:t>
      </w:r>
      <w:r>
        <w:rPr>
          <w:color w:val="000000"/>
        </w:rPr>
        <w:t>month regimen—including those with prior second-line drug exposure, fluoroquinolone resistance, or extensive drug resistance—the conventional 20-month regimen is applied. The intensive phase of 8 months includes: kanamycin (or capreomycin [Cm] if kanamycin</w:t>
      </w:r>
      <w:r>
        <w:rPr>
          <w:color w:val="000000"/>
        </w:rPr>
        <w:t xml:space="preserve"> is not tolerated), levofloxacin (Lfx), prothionamide (Pto), cycloserine (Cs), and pyrazinamide (Z). The continuation phase of 12 months consists of Lfx, Pto, Cs, and Z. In selected cases, cycloserine may be replaced by PAS. This regimen corresponds to the</w:t>
      </w:r>
      <w:r>
        <w:rPr>
          <w:color w:val="000000"/>
        </w:rPr>
        <w:t xml:space="preserve"> WHO 'longer' regimen for MDR/RR-TB and is typically reserved for complex cases or those with extrapulmonary MDR-TB [5]. Note: The 2022 WHO guidelines now recommend transitioning eligible patients toward BPaLM or the 9-month regimen. The 20-month regimen c</w:t>
      </w:r>
      <w:r>
        <w:rPr>
          <w:color w:val="000000"/>
        </w:rPr>
        <w:t>ontinues to be used in this cohort for historically enrolled patients and those ineligible for newer options.</w:t>
      </w:r>
    </w:p>
    <w:p w14:paraId="0E3D59F0" w14:textId="77777777" w:rsidR="00E72D07" w:rsidRDefault="00491E0E">
      <w:pPr>
        <w:pStyle w:val="Heading2"/>
      </w:pPr>
      <w:r>
        <w:t>2.5 Patient Distribution Across Regimens</w:t>
      </w:r>
    </w:p>
    <w:p w14:paraId="62AFF9F8" w14:textId="77777777" w:rsidR="00E72D07" w:rsidRDefault="00491E0E">
      <w:pPr>
        <w:spacing w:after="160" w:line="276" w:lineRule="auto"/>
        <w:jc w:val="both"/>
      </w:pPr>
      <w:r>
        <w:rPr>
          <w:color w:val="000000"/>
        </w:rPr>
        <w:t>Among the 912 patients enrolled in this study, the distribution across treatment regimens is summarized i</w:t>
      </w:r>
      <w:r>
        <w:rPr>
          <w:color w:val="000000"/>
        </w:rPr>
        <w:t>n Table 1. The majority (57.3%) received the standard 6-month regimen, reflecting the predominance of newly diagnosed, drug-susceptible TB cases. The 9-month shortened MDR-TB regimen encompassed 24.7% of patients, followed by the 20-month conventional long</w:t>
      </w:r>
      <w:r>
        <w:rPr>
          <w:color w:val="000000"/>
        </w:rPr>
        <w:t xml:space="preserve"> regimen (9.5%) and the 8-month retreatment regimen (8.4%).</w:t>
      </w:r>
    </w:p>
    <w:p w14:paraId="141583C3" w14:textId="77777777" w:rsidR="00E72D07" w:rsidRDefault="00E72D07">
      <w:pPr>
        <w:spacing w:after="100"/>
      </w:pPr>
    </w:p>
    <w:p w14:paraId="186C97C6" w14:textId="77777777" w:rsidR="00E72D07" w:rsidRDefault="00491E0E">
      <w:pPr>
        <w:spacing w:before="160" w:after="80"/>
      </w:pPr>
      <w:r>
        <w:rPr>
          <w:b/>
          <w:bCs/>
          <w:color w:val="2F5496"/>
        </w:rPr>
        <w:t>Table 1. Distribution of Patients Across TB Treatment Regimens (N = 912)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800"/>
        <w:gridCol w:w="1500"/>
        <w:gridCol w:w="1526"/>
      </w:tblGrid>
      <w:tr w:rsidR="00E72D07" w14:paraId="3F539566" w14:textId="77777777">
        <w:tblPrEx>
          <w:tblCellMar>
            <w:top w:w="0" w:type="dxa"/>
            <w:bottom w:w="0" w:type="dxa"/>
          </w:tblCellMar>
        </w:tblPrEx>
        <w:trPr>
          <w:tblHeader/>
        </w:trPr>
        <w:tc>
          <w:tcPr>
            <w:tcW w:w="2200" w:type="dxa"/>
            <w:tcBorders>
              <w:top w:val="single" w:sz="1" w:space="0" w:color="A0A0A0"/>
              <w:left w:val="single" w:sz="1" w:space="0" w:color="A0A0A0"/>
              <w:bottom w:val="single" w:sz="1" w:space="0" w:color="A0A0A0"/>
              <w:right w:val="single" w:sz="1" w:space="0" w:color="A0A0A0"/>
            </w:tcBorders>
            <w:shd w:val="clear" w:color="auto" w:fill="2E75B6"/>
            <w:tcMar>
              <w:top w:w="80" w:type="dxa"/>
              <w:left w:w="120" w:type="dxa"/>
              <w:bottom w:w="80" w:type="dxa"/>
              <w:right w:w="120" w:type="dxa"/>
            </w:tcMar>
          </w:tcPr>
          <w:p w14:paraId="190748CB" w14:textId="77777777" w:rsidR="00E72D07" w:rsidRDefault="00491E0E">
            <w:pPr>
              <w:jc w:val="center"/>
            </w:pPr>
            <w:r>
              <w:rPr>
                <w:b/>
                <w:bCs/>
                <w:color w:val="FFFFFF"/>
              </w:rPr>
              <w:t>Treatment Regimen</w:t>
            </w:r>
          </w:p>
        </w:tc>
        <w:tc>
          <w:tcPr>
            <w:tcW w:w="2000" w:type="dxa"/>
            <w:tcBorders>
              <w:top w:val="single" w:sz="1" w:space="0" w:color="A0A0A0"/>
              <w:left w:val="single" w:sz="1" w:space="0" w:color="A0A0A0"/>
              <w:bottom w:val="single" w:sz="1" w:space="0" w:color="A0A0A0"/>
              <w:right w:val="single" w:sz="1" w:space="0" w:color="A0A0A0"/>
            </w:tcBorders>
            <w:shd w:val="clear" w:color="auto" w:fill="2E75B6"/>
            <w:tcMar>
              <w:top w:w="80" w:type="dxa"/>
              <w:left w:w="120" w:type="dxa"/>
              <w:bottom w:w="80" w:type="dxa"/>
              <w:right w:w="120" w:type="dxa"/>
            </w:tcMar>
          </w:tcPr>
          <w:p w14:paraId="4780609F" w14:textId="77777777" w:rsidR="00E72D07" w:rsidRDefault="00491E0E">
            <w:pPr>
              <w:jc w:val="center"/>
            </w:pPr>
            <w:r>
              <w:rPr>
                <w:b/>
                <w:bCs/>
                <w:color w:val="FFFFFF"/>
              </w:rPr>
              <w:t>Intensive Phase</w:t>
            </w:r>
          </w:p>
        </w:tc>
        <w:tc>
          <w:tcPr>
            <w:tcW w:w="1800" w:type="dxa"/>
            <w:tcBorders>
              <w:top w:val="single" w:sz="1" w:space="0" w:color="A0A0A0"/>
              <w:left w:val="single" w:sz="1" w:space="0" w:color="A0A0A0"/>
              <w:bottom w:val="single" w:sz="1" w:space="0" w:color="A0A0A0"/>
              <w:right w:val="single" w:sz="1" w:space="0" w:color="A0A0A0"/>
            </w:tcBorders>
            <w:shd w:val="clear" w:color="auto" w:fill="2E75B6"/>
            <w:tcMar>
              <w:top w:w="80" w:type="dxa"/>
              <w:left w:w="120" w:type="dxa"/>
              <w:bottom w:w="80" w:type="dxa"/>
              <w:right w:w="120" w:type="dxa"/>
            </w:tcMar>
          </w:tcPr>
          <w:p w14:paraId="23079B8A" w14:textId="77777777" w:rsidR="00E72D07" w:rsidRDefault="00491E0E">
            <w:pPr>
              <w:jc w:val="center"/>
            </w:pPr>
            <w:r>
              <w:rPr>
                <w:b/>
                <w:bCs/>
                <w:color w:val="FFFFFF"/>
              </w:rPr>
              <w:t>Continuation Phase</w:t>
            </w:r>
          </w:p>
        </w:tc>
        <w:tc>
          <w:tcPr>
            <w:tcW w:w="1500" w:type="dxa"/>
            <w:tcBorders>
              <w:top w:val="single" w:sz="1" w:space="0" w:color="A0A0A0"/>
              <w:left w:val="single" w:sz="1" w:space="0" w:color="A0A0A0"/>
              <w:bottom w:val="single" w:sz="1" w:space="0" w:color="A0A0A0"/>
              <w:right w:val="single" w:sz="1" w:space="0" w:color="A0A0A0"/>
            </w:tcBorders>
            <w:shd w:val="clear" w:color="auto" w:fill="2E75B6"/>
            <w:tcMar>
              <w:top w:w="80" w:type="dxa"/>
              <w:left w:w="120" w:type="dxa"/>
              <w:bottom w:w="80" w:type="dxa"/>
              <w:right w:w="120" w:type="dxa"/>
            </w:tcMar>
          </w:tcPr>
          <w:p w14:paraId="75E6C68F" w14:textId="77777777" w:rsidR="00E72D07" w:rsidRDefault="00491E0E">
            <w:pPr>
              <w:jc w:val="center"/>
            </w:pPr>
            <w:r>
              <w:rPr>
                <w:b/>
                <w:bCs/>
                <w:color w:val="FFFFFF"/>
              </w:rPr>
              <w:t>N (%)</w:t>
            </w:r>
          </w:p>
        </w:tc>
        <w:tc>
          <w:tcPr>
            <w:tcW w:w="1526" w:type="dxa"/>
            <w:tcBorders>
              <w:top w:val="single" w:sz="1" w:space="0" w:color="A0A0A0"/>
              <w:left w:val="single" w:sz="1" w:space="0" w:color="A0A0A0"/>
              <w:bottom w:val="single" w:sz="1" w:space="0" w:color="A0A0A0"/>
              <w:right w:val="single" w:sz="1" w:space="0" w:color="A0A0A0"/>
            </w:tcBorders>
            <w:shd w:val="clear" w:color="auto" w:fill="2E75B6"/>
            <w:tcMar>
              <w:top w:w="80" w:type="dxa"/>
              <w:left w:w="120" w:type="dxa"/>
              <w:bottom w:w="80" w:type="dxa"/>
              <w:right w:w="120" w:type="dxa"/>
            </w:tcMar>
          </w:tcPr>
          <w:p w14:paraId="315C5C74" w14:textId="77777777" w:rsidR="00E72D07" w:rsidRDefault="00491E0E">
            <w:pPr>
              <w:jc w:val="center"/>
            </w:pPr>
            <w:r>
              <w:rPr>
                <w:b/>
                <w:bCs/>
                <w:color w:val="FFFFFF"/>
              </w:rPr>
              <w:t>Drugs</w:t>
            </w:r>
          </w:p>
        </w:tc>
      </w:tr>
      <w:tr w:rsidR="00E72D07" w14:paraId="60CA195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049739EF" w14:textId="77777777" w:rsidR="00E72D07" w:rsidRDefault="00491E0E">
            <w:r>
              <w:rPr>
                <w:b/>
                <w:bCs/>
                <w:sz w:val="18"/>
                <w:szCs w:val="18"/>
              </w:rPr>
              <w:t>6 months</w:t>
            </w:r>
          </w:p>
        </w:tc>
        <w:tc>
          <w:tcPr>
            <w:tcW w:w="20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38962B10" w14:textId="77777777" w:rsidR="00E72D07" w:rsidRDefault="00491E0E">
            <w:r>
              <w:rPr>
                <w:sz w:val="18"/>
                <w:szCs w:val="18"/>
              </w:rPr>
              <w:t>2 months: HRZE</w:t>
            </w:r>
          </w:p>
        </w:tc>
        <w:tc>
          <w:tcPr>
            <w:tcW w:w="18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73FEE937" w14:textId="77777777" w:rsidR="00E72D07" w:rsidRDefault="00491E0E">
            <w:r>
              <w:rPr>
                <w:sz w:val="18"/>
                <w:szCs w:val="18"/>
              </w:rPr>
              <w:t>4 months: HR(E)</w:t>
            </w:r>
          </w:p>
        </w:tc>
        <w:tc>
          <w:tcPr>
            <w:tcW w:w="15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1545CC1C" w14:textId="77777777" w:rsidR="00E72D07" w:rsidRDefault="00491E0E">
            <w:r>
              <w:rPr>
                <w:b/>
                <w:bCs/>
                <w:sz w:val="18"/>
                <w:szCs w:val="18"/>
              </w:rPr>
              <w:t>523 (57.3%)</w:t>
            </w:r>
          </w:p>
        </w:tc>
        <w:tc>
          <w:tcPr>
            <w:tcW w:w="1526"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31B3FBA8" w14:textId="77777777" w:rsidR="00E72D07" w:rsidRDefault="00491E0E">
            <w:r>
              <w:rPr>
                <w:sz w:val="18"/>
                <w:szCs w:val="18"/>
              </w:rPr>
              <w:t>H, R, Z, E</w:t>
            </w:r>
          </w:p>
        </w:tc>
      </w:tr>
      <w:tr w:rsidR="00E72D07" w14:paraId="6E50802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3A4EF5" w14:textId="77777777" w:rsidR="00E72D07" w:rsidRDefault="00491E0E">
            <w:r>
              <w:rPr>
                <w:b/>
                <w:bCs/>
                <w:sz w:val="18"/>
                <w:szCs w:val="18"/>
              </w:rPr>
              <w:t>8 months</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F3E3A0" w14:textId="77777777" w:rsidR="00E72D07" w:rsidRDefault="00491E0E">
            <w:r>
              <w:rPr>
                <w:sz w:val="18"/>
                <w:szCs w:val="18"/>
              </w:rPr>
              <w:t>Months 1–2: SHRZE; Month 3: HRZE</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7023B4" w14:textId="77777777" w:rsidR="00E72D07" w:rsidRDefault="00491E0E">
            <w:r>
              <w:rPr>
                <w:sz w:val="18"/>
                <w:szCs w:val="18"/>
              </w:rPr>
              <w:t>5 months: HRE (daily or 3×/week)</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167B2C" w14:textId="77777777" w:rsidR="00E72D07" w:rsidRDefault="00491E0E">
            <w:r>
              <w:rPr>
                <w:b/>
                <w:bCs/>
                <w:sz w:val="18"/>
                <w:szCs w:val="18"/>
              </w:rPr>
              <w:t>77 (8.4%)</w:t>
            </w:r>
          </w:p>
        </w:tc>
        <w:tc>
          <w:tcPr>
            <w:tcW w:w="1526"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4800519" w14:textId="77777777" w:rsidR="00E72D07" w:rsidRDefault="00491E0E">
            <w:r>
              <w:rPr>
                <w:sz w:val="18"/>
                <w:szCs w:val="18"/>
              </w:rPr>
              <w:t>S, H, R, Z, E</w:t>
            </w:r>
          </w:p>
        </w:tc>
      </w:tr>
      <w:tr w:rsidR="00E72D07" w14:paraId="310CF11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21520E00" w14:textId="77777777" w:rsidR="00E72D07" w:rsidRDefault="00491E0E">
            <w:r>
              <w:rPr>
                <w:b/>
                <w:bCs/>
                <w:sz w:val="18"/>
                <w:szCs w:val="18"/>
              </w:rPr>
              <w:t>9 months</w:t>
            </w:r>
          </w:p>
        </w:tc>
        <w:tc>
          <w:tcPr>
            <w:tcW w:w="20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63EFCCC5" w14:textId="77777777" w:rsidR="00E72D07" w:rsidRDefault="00491E0E">
            <w:r>
              <w:rPr>
                <w:sz w:val="18"/>
                <w:szCs w:val="18"/>
              </w:rPr>
              <w:t>4–6 months: Km + Lfx + Pto + Cfz + Z + Hh + E</w:t>
            </w:r>
          </w:p>
        </w:tc>
        <w:tc>
          <w:tcPr>
            <w:tcW w:w="18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018F994E" w14:textId="77777777" w:rsidR="00E72D07" w:rsidRDefault="00491E0E">
            <w:r>
              <w:rPr>
                <w:sz w:val="18"/>
                <w:szCs w:val="18"/>
              </w:rPr>
              <w:t>5 months: Lfx + Cfz + Z + E</w:t>
            </w:r>
          </w:p>
        </w:tc>
        <w:tc>
          <w:tcPr>
            <w:tcW w:w="1500"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7CF902D9" w14:textId="77777777" w:rsidR="00E72D07" w:rsidRDefault="00491E0E">
            <w:r>
              <w:rPr>
                <w:b/>
                <w:bCs/>
                <w:sz w:val="18"/>
                <w:szCs w:val="18"/>
              </w:rPr>
              <w:t>225 (24.7%)</w:t>
            </w:r>
          </w:p>
        </w:tc>
        <w:tc>
          <w:tcPr>
            <w:tcW w:w="1526" w:type="dxa"/>
            <w:tcBorders>
              <w:top w:val="single" w:sz="1" w:space="0" w:color="A0A0A0"/>
              <w:left w:val="single" w:sz="1" w:space="0" w:color="A0A0A0"/>
              <w:bottom w:val="single" w:sz="1" w:space="0" w:color="A0A0A0"/>
              <w:right w:val="single" w:sz="1" w:space="0" w:color="A0A0A0"/>
            </w:tcBorders>
            <w:shd w:val="clear" w:color="auto" w:fill="DEEAF1"/>
            <w:tcMar>
              <w:top w:w="80" w:type="dxa"/>
              <w:left w:w="120" w:type="dxa"/>
              <w:bottom w:w="80" w:type="dxa"/>
              <w:right w:w="120" w:type="dxa"/>
            </w:tcMar>
          </w:tcPr>
          <w:p w14:paraId="77EF43E7" w14:textId="77777777" w:rsidR="00E72D07" w:rsidRDefault="00491E0E">
            <w:r>
              <w:rPr>
                <w:sz w:val="18"/>
                <w:szCs w:val="18"/>
              </w:rPr>
              <w:t>Km, Lfx, Pto, Cfz, Hh, Z, E</w:t>
            </w:r>
          </w:p>
        </w:tc>
      </w:tr>
      <w:tr w:rsidR="00E72D07" w14:paraId="5C60E2D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893EFE" w14:textId="77777777" w:rsidR="00E72D07" w:rsidRDefault="00491E0E">
            <w:r>
              <w:rPr>
                <w:b/>
                <w:bCs/>
                <w:sz w:val="18"/>
                <w:szCs w:val="18"/>
              </w:rPr>
              <w:t>20 months</w:t>
            </w:r>
          </w:p>
        </w:tc>
        <w:tc>
          <w:tcPr>
            <w:tcW w:w="20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426EFE" w14:textId="77777777" w:rsidR="00E72D07" w:rsidRDefault="00491E0E">
            <w:r>
              <w:rPr>
                <w:sz w:val="18"/>
                <w:szCs w:val="18"/>
              </w:rPr>
              <w:t>8 months: Km (or Cm) + Lfx + Pto + Cs + Z</w:t>
            </w:r>
          </w:p>
        </w:tc>
        <w:tc>
          <w:tcPr>
            <w:tcW w:w="18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3A8BC26" w14:textId="77777777" w:rsidR="00E72D07" w:rsidRDefault="00491E0E">
            <w:r>
              <w:rPr>
                <w:sz w:val="18"/>
                <w:szCs w:val="18"/>
              </w:rPr>
              <w:t>12 months: Lfx + Pto + Cs + Z</w:t>
            </w:r>
          </w:p>
        </w:tc>
        <w:tc>
          <w:tcPr>
            <w:tcW w:w="150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46C849" w14:textId="77777777" w:rsidR="00E72D07" w:rsidRDefault="00491E0E">
            <w:r>
              <w:rPr>
                <w:b/>
                <w:bCs/>
                <w:sz w:val="18"/>
                <w:szCs w:val="18"/>
              </w:rPr>
              <w:t>87 (9.5%)</w:t>
            </w:r>
          </w:p>
        </w:tc>
        <w:tc>
          <w:tcPr>
            <w:tcW w:w="1526"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7E6121" w14:textId="77777777" w:rsidR="00E72D07" w:rsidRDefault="00491E0E">
            <w:r>
              <w:rPr>
                <w:sz w:val="18"/>
                <w:szCs w:val="18"/>
              </w:rPr>
              <w:t>Km/Cm, Lfx, Pto, Cs, Z</w:t>
            </w:r>
          </w:p>
        </w:tc>
      </w:tr>
    </w:tbl>
    <w:p w14:paraId="0BEB2042" w14:textId="77777777" w:rsidR="00E72D07" w:rsidRDefault="00491E0E">
      <w:pPr>
        <w:spacing w:before="60" w:after="60"/>
      </w:pPr>
      <w:r>
        <w:rPr>
          <w:i/>
          <w:iCs/>
          <w:color w:val="666666"/>
          <w:sz w:val="16"/>
          <w:szCs w:val="16"/>
        </w:rPr>
        <w:t>Abbreviations: H = isoniazid; R = rifampicin; Z = pyrazinamide; E = ethambutol; S = streptomycin; Km = kanamycin; Cm = capreomycin; Lfx = levofloxacin; Cfz = clofazimine; Hh = high-dose isoniazid; Pto = prothionamide; Cs = cycloserine.</w:t>
      </w:r>
    </w:p>
    <w:p w14:paraId="564148C2" w14:textId="77777777" w:rsidR="00E72D07" w:rsidRDefault="00E72D07">
      <w:pPr>
        <w:spacing w:after="100"/>
      </w:pPr>
    </w:p>
    <w:p w14:paraId="219130F1" w14:textId="77777777" w:rsidR="00E72D07" w:rsidRDefault="00491E0E">
      <w:pPr>
        <w:pStyle w:val="Heading1"/>
      </w:pPr>
      <w:r>
        <w:t>3. Methods</w:t>
      </w:r>
    </w:p>
    <w:p w14:paraId="5A0F47B2" w14:textId="77777777" w:rsidR="00E72D07" w:rsidRDefault="00491E0E">
      <w:pPr>
        <w:pStyle w:val="Heading2"/>
      </w:pPr>
      <w:r>
        <w:t>3.1 Stud</w:t>
      </w:r>
      <w:r>
        <w:t>y Design and Setting</w:t>
      </w:r>
    </w:p>
    <w:p w14:paraId="173E4FB5" w14:textId="77777777" w:rsidR="00E72D07" w:rsidRDefault="00491E0E">
      <w:pPr>
        <w:spacing w:after="160" w:line="276" w:lineRule="auto"/>
        <w:jc w:val="both"/>
      </w:pPr>
      <w:r>
        <w:rPr>
          <w:color w:val="000000"/>
        </w:rPr>
        <w:t>This retrospective cohort study was conducted at the Hospital of Tropical Diseases (HTD), Ho Chi Minh City, Vietnam. The hospital is a tertiary referral center serving as the primary site for TB management in southern Vietnam. The stud</w:t>
      </w:r>
      <w:r>
        <w:rPr>
          <w:color w:val="000000"/>
        </w:rPr>
        <w:t>y included patients enrolled in two prospective observational studies (28TB and 29TB) conducted between January 2018 and October 2023.</w:t>
      </w:r>
    </w:p>
    <w:p w14:paraId="4C8496A3" w14:textId="77777777" w:rsidR="00E72D07" w:rsidRDefault="00491E0E">
      <w:pPr>
        <w:pStyle w:val="Heading2"/>
      </w:pPr>
      <w:r>
        <w:t>3.2 Eligibility Criteria</w:t>
      </w:r>
    </w:p>
    <w:p w14:paraId="1593DAC9" w14:textId="77777777" w:rsidR="00E72D07" w:rsidRDefault="00491E0E">
      <w:pPr>
        <w:spacing w:after="160" w:line="276" w:lineRule="auto"/>
        <w:jc w:val="both"/>
      </w:pPr>
      <w:r>
        <w:rPr>
          <w:color w:val="000000"/>
        </w:rPr>
        <w:t>Inclusion criteria: (1) confirmed pulmonary TB diagnosis by sputum culture, GeneXpert MTB/RIF, o</w:t>
      </w:r>
      <w:r>
        <w:rPr>
          <w:color w:val="000000"/>
        </w:rPr>
        <w:t>r Hain Line-Probe Assay; (2) age ≥ 18 years; (3) assigned to one of the four treatment regimens described; (4) baseline sputum culture available. Exclusion criteria: (1) extrapulmonary TB only; (2) incomplete baseline data; (3) enrollment in interventional</w:t>
      </w:r>
      <w:r>
        <w:rPr>
          <w:color w:val="000000"/>
        </w:rPr>
        <w:t xml:space="preserve"> clinical trials requiring protocol-specified regimens differing from standard of care.</w:t>
      </w:r>
    </w:p>
    <w:p w14:paraId="643D1640" w14:textId="77777777" w:rsidR="00E72D07" w:rsidRDefault="00491E0E">
      <w:pPr>
        <w:pStyle w:val="Heading2"/>
      </w:pPr>
      <w:r>
        <w:t>3.3 Primary Outcome: Culture Conversion</w:t>
      </w:r>
    </w:p>
    <w:p w14:paraId="168B8F29" w14:textId="77777777" w:rsidR="00E72D07" w:rsidRDefault="00491E0E">
      <w:pPr>
        <w:spacing w:after="160" w:line="276" w:lineRule="auto"/>
        <w:jc w:val="both"/>
      </w:pPr>
      <w:r>
        <w:rPr>
          <w:color w:val="000000"/>
        </w:rPr>
        <w:t>The primary endpoint was sputum culture conversion, defined as two consecutive negative sputum cultures at least one month apart</w:t>
      </w:r>
      <w:r>
        <w:rPr>
          <w:color w:val="000000"/>
        </w:rPr>
        <w:t>. For the 28TB cohort, conversion was defined per the two-consecutive-negative-culture rule; for the 29TB cohort, conversion was defined as the first negative culture at a specific follow-up timepoint after at least one month of treatment. Secondary outcom</w:t>
      </w:r>
      <w:r>
        <w:rPr>
          <w:color w:val="000000"/>
        </w:rPr>
        <w:t>es included: (1) treatment outcome (cured, treatment completed, died, failed, lost to follow-up); (2) composite binary outcome (unfavorable = death or treatment failure; favorable = cured or treatment completed).</w:t>
      </w:r>
    </w:p>
    <w:p w14:paraId="02FFDFAE" w14:textId="77777777" w:rsidR="00E72D07" w:rsidRDefault="00491E0E">
      <w:pPr>
        <w:spacing w:after="160" w:line="276" w:lineRule="auto"/>
        <w:jc w:val="both"/>
      </w:pPr>
      <w:r>
        <w:rPr>
          <w:color w:val="000000"/>
        </w:rPr>
        <w:t>Time to culture conversion was measured in days from treatment initiation (date N0) to the date of the first converting culture timepoint. Patients without documented conversion were censored at the last follow-up date, regimen-specific maximum follow-up t</w:t>
      </w:r>
      <w:r>
        <w:rPr>
          <w:color w:val="000000"/>
        </w:rPr>
        <w:t>ime, or date of death (treated as a competing event). Follow-up timepoints were labeled N0 (baseline), N14 (day 14), and T01–T24 (months 1–24), with the specific timepoints applicable depending on regimen length.</w:t>
      </w:r>
    </w:p>
    <w:p w14:paraId="2D34CA23" w14:textId="77777777" w:rsidR="00E72D07" w:rsidRDefault="00491E0E">
      <w:pPr>
        <w:pStyle w:val="Heading2"/>
      </w:pPr>
      <w:r>
        <w:t>3.4 Predictor Variables</w:t>
      </w:r>
    </w:p>
    <w:p w14:paraId="5D3B75D6" w14:textId="77777777" w:rsidR="00E72D07" w:rsidRDefault="00491E0E">
      <w:pPr>
        <w:spacing w:after="160" w:line="276" w:lineRule="auto"/>
        <w:jc w:val="both"/>
      </w:pPr>
      <w:r>
        <w:rPr>
          <w:color w:val="000000"/>
        </w:rPr>
        <w:t>Candidate predictor variables were grouped as follows: (1) Demographics: age, sex, occupation, age group; (2) Anthropometrics: weight, height, BMI, BMI category per WHO Asia-Pacific classification; (3) Vital signs: systolic and diastolic blood pressure, bo</w:t>
      </w:r>
      <w:r>
        <w:rPr>
          <w:color w:val="000000"/>
        </w:rPr>
        <w:t>dy temperature; (4) Behavioral factors: smoking status, pack-years, alcohol use; (5) Comorbidities: HIV infection (with ART status, CD4 count, co-trimoxazole use), diabetes mellitus (duration, insulin use, metformin use); (6) TB history: prior TB treatment</w:t>
      </w:r>
      <w:r>
        <w:rPr>
          <w:color w:val="000000"/>
        </w:rPr>
        <w:t xml:space="preserve">, TB type (AFB+, AFB-, extrapulmonary), BCG vaccination; (7) Clinical symptoms: weight loss, night sweats, low-grade fever, cough duration, sputum, haemoptysis, chest pain, malaise, dyspnea; (8) Laboratory: complete blood count, albumin, globulin, fasting </w:t>
      </w:r>
      <w:r>
        <w:rPr>
          <w:color w:val="000000"/>
        </w:rPr>
        <w:t>glucose, HbA1c, neutrophil-to-lymphocyte ratio (NEU_LYM), anemia status; (9) Microbiological: GeneXpert result, drug susceptibility profile (WGS-based), Mycobacterium species, lineage; (10) Radiological: cavitation, lung proportion involved (CT_mean), Timi</w:t>
      </w:r>
      <w:r>
        <w:rPr>
          <w:color w:val="000000"/>
        </w:rPr>
        <w:t>ka score; (11) Severity scores: symptom score, clinical severity score; (12) Regimen.</w:t>
      </w:r>
    </w:p>
    <w:p w14:paraId="4D246A68" w14:textId="77777777" w:rsidR="00E72D07" w:rsidRDefault="00491E0E">
      <w:pPr>
        <w:pStyle w:val="Heading2"/>
      </w:pPr>
      <w:r>
        <w:t>3.5 Statistical Analysis</w:t>
      </w:r>
    </w:p>
    <w:p w14:paraId="0913058E" w14:textId="77777777" w:rsidR="00E72D07" w:rsidRDefault="00491E0E">
      <w:pPr>
        <w:pStyle w:val="Heading3"/>
      </w:pPr>
      <w:r>
        <w:t>3.5.1 Descriptive Statistics</w:t>
      </w:r>
    </w:p>
    <w:p w14:paraId="39C8D009" w14:textId="77777777" w:rsidR="00E72D07" w:rsidRDefault="00491E0E">
      <w:pPr>
        <w:spacing w:after="160" w:line="276" w:lineRule="auto"/>
        <w:jc w:val="both"/>
      </w:pPr>
      <w:r>
        <w:rPr>
          <w:color w:val="000000"/>
        </w:rPr>
        <w:t>Continuous variables are presented as median (interquartile range [IQR] Q1–Q3) and categorical variables as frequenc</w:t>
      </w:r>
      <w:r>
        <w:rPr>
          <w:color w:val="000000"/>
        </w:rPr>
        <w:t>y (percentage). Group comparisons used the Kruskal-Wallis rank sum test for continuous variables and Fisher's Exact Test with Monte Carlo simulation (10,000 replicates) for categorical variables with sparse cells.</w:t>
      </w:r>
    </w:p>
    <w:p w14:paraId="67E1ACA1" w14:textId="77777777" w:rsidR="00E72D07" w:rsidRDefault="00491E0E">
      <w:pPr>
        <w:pStyle w:val="Heading3"/>
      </w:pPr>
      <w:r>
        <w:t>3.5.2 Survival Analysis: Time to Culture C</w:t>
      </w:r>
      <w:r>
        <w:t>onversion</w:t>
      </w:r>
    </w:p>
    <w:p w14:paraId="57A881A4" w14:textId="77777777" w:rsidR="00E72D07" w:rsidRDefault="00491E0E">
      <w:pPr>
        <w:spacing w:after="160" w:line="276" w:lineRule="auto"/>
        <w:jc w:val="both"/>
      </w:pPr>
      <w:r>
        <w:rPr>
          <w:color w:val="000000"/>
        </w:rPr>
        <w:t>Kaplan-Meier (KM) curves were constructed to estimate the probability of remaining unconverted (i.e., survival function for time to first conversion) stratified by treatment regimen. The log-rank test was used to assess overall group differences.</w:t>
      </w:r>
      <w:r>
        <w:rPr>
          <w:color w:val="000000"/>
        </w:rPr>
        <w:t xml:space="preserve"> Pairwise comparisons were corrected for multiple testing using the Bonferroni method. The 28-day, 60-day, 120-day, and 180-day conversion probabilities were estimated from KM curves.</w:t>
      </w:r>
    </w:p>
    <w:p w14:paraId="768252A8" w14:textId="77777777" w:rsidR="00E72D07" w:rsidRDefault="00491E0E">
      <w:pPr>
        <w:spacing w:after="160" w:line="276" w:lineRule="auto"/>
        <w:jc w:val="both"/>
      </w:pPr>
      <w:r>
        <w:rPr>
          <w:color w:val="000000"/>
        </w:rPr>
        <w:t>Restricted Mean Survival Time (RMST) was calculated at a truncation time</w:t>
      </w:r>
      <w:r>
        <w:rPr>
          <w:color w:val="000000"/>
        </w:rPr>
        <w:t xml:space="preserve"> of 300 days for all regimen groups, representing the expected days free from culture conversion up to that horizon. RMST differences between the 6-month, 8-month, and 9-month regimens versus the 20-month regimen (reference) were computed with 95% confiden</w:t>
      </w:r>
      <w:r>
        <w:rPr>
          <w:color w:val="000000"/>
        </w:rPr>
        <w:t>ce intervals. This approach avoids the proportional hazards assumption and is recommended when hazard ratios are not constant over time [9,10].</w:t>
      </w:r>
    </w:p>
    <w:p w14:paraId="00A9EE52" w14:textId="77777777" w:rsidR="00E72D07" w:rsidRDefault="00491E0E">
      <w:pPr>
        <w:spacing w:after="160" w:line="276" w:lineRule="auto"/>
        <w:jc w:val="both"/>
      </w:pPr>
      <w:r>
        <w:rPr>
          <w:color w:val="000000"/>
        </w:rPr>
        <w:t>Fine-Gray subdistribution hazard models were applied to the competing risks framework, with culture conversion a</w:t>
      </w:r>
      <w:r>
        <w:rPr>
          <w:color w:val="000000"/>
        </w:rPr>
        <w:t>s the primary event and death as the competing event. This accounts for the fact that deceased patients can no longer experience culture conversion, thereby avoiding overestimation of the crude cumulative incidence [11]. The subdistribution hazard ratio (S</w:t>
      </w:r>
      <w:r>
        <w:rPr>
          <w:color w:val="000000"/>
        </w:rPr>
        <w:t>HR) for each regimen was estimated adjusting for baseline covariates.</w:t>
      </w:r>
    </w:p>
    <w:p w14:paraId="122879DD" w14:textId="77777777" w:rsidR="00E72D07" w:rsidRDefault="00491E0E">
      <w:pPr>
        <w:spacing w:after="160" w:line="276" w:lineRule="auto"/>
        <w:jc w:val="both"/>
      </w:pPr>
      <w:r>
        <w:rPr>
          <w:color w:val="000000"/>
        </w:rPr>
        <w:t>Proportional hazards assumption was assessed using Schoenfeld residuals and log-log plots for the Cox model. Where the assumption was violated, stratified Cox models or time-varying coef</w:t>
      </w:r>
      <w:r>
        <w:rPr>
          <w:color w:val="000000"/>
        </w:rPr>
        <w:t>ficient models were considered.</w:t>
      </w:r>
    </w:p>
    <w:p w14:paraId="35D7BDFF" w14:textId="77777777" w:rsidR="00E72D07" w:rsidRDefault="00491E0E">
      <w:pPr>
        <w:pStyle w:val="Heading3"/>
      </w:pPr>
      <w:r>
        <w:t>3.5.3 Prediction Modeling for Treatment Outcome</w:t>
      </w:r>
    </w:p>
    <w:p w14:paraId="30A0B325" w14:textId="77777777" w:rsidR="00E72D07" w:rsidRDefault="00491E0E">
      <w:pPr>
        <w:spacing w:after="160" w:line="276" w:lineRule="auto"/>
        <w:jc w:val="both"/>
      </w:pPr>
      <w:r>
        <w:rPr>
          <w:color w:val="000000"/>
        </w:rPr>
        <w:t xml:space="preserve">The binary outcome (unfavorable vs. favorable treatment outcome) was analyzed using multivariable logistic regression. Missing data were addressed by multiple imputation using </w:t>
      </w:r>
      <w:r>
        <w:rPr>
          <w:color w:val="000000"/>
        </w:rPr>
        <w:t>chained equations (MICE) with predictive mean matching (PMM) for continuous variables and logistic imputation for binary variables, using m = 50 imputed datasets with 10 iterations each [12].</w:t>
      </w:r>
    </w:p>
    <w:p w14:paraId="200569F6" w14:textId="77777777" w:rsidR="00E72D07" w:rsidRDefault="00491E0E">
      <w:pPr>
        <w:spacing w:after="160" w:line="276" w:lineRule="auto"/>
        <w:jc w:val="both"/>
      </w:pPr>
      <w:r>
        <w:rPr>
          <w:color w:val="000000"/>
        </w:rPr>
        <w:t>Three variable selection strategies were compared: (1) Full mode</w:t>
      </w:r>
      <w:r>
        <w:rPr>
          <w:color w:val="000000"/>
        </w:rPr>
        <w:t>l: pre-specified candidate predictors based on clinical judgment and literature; (2) LASSO-penalized logistic regression with optimal lambda selected by 10-fold cross-validation (lambda.min); and (3) Stepwise backward elimination using the Akaike Informati</w:t>
      </w:r>
      <w:r>
        <w:rPr>
          <w:color w:val="000000"/>
        </w:rPr>
        <w:t>on Criterion (AIC) with restricted cubic splines (rcs, 3 knots) to capture non-linearity.</w:t>
      </w:r>
    </w:p>
    <w:p w14:paraId="0ABEBBD7" w14:textId="77777777" w:rsidR="00E72D07" w:rsidRDefault="00491E0E">
      <w:pPr>
        <w:spacing w:after="160" w:line="276" w:lineRule="auto"/>
        <w:jc w:val="both"/>
      </w:pPr>
      <w:r>
        <w:rPr>
          <w:color w:val="000000"/>
        </w:rPr>
        <w:t>Model estimation and selection were performed within a combined multiple imputation and bootstrap internal validation framework (50 imputations × 200 bootstrap resamp</w:t>
      </w:r>
      <w:r>
        <w:rPr>
          <w:color w:val="000000"/>
        </w:rPr>
        <w:t>les = 10,000 iterations using parallel processing). Variable inclusion frequency was calculated as the proportion of bootstrap iterations in which each predictor was retained; variables selected in ≥50% of iterations were included in the final model. Model</w:t>
      </w:r>
      <w:r>
        <w:rPr>
          <w:color w:val="000000"/>
        </w:rPr>
        <w:t xml:space="preserve"> coefficients were pooled using Rubin's rules [12].</w:t>
      </w:r>
    </w:p>
    <w:p w14:paraId="5238E6CB" w14:textId="77777777" w:rsidR="00E72D07" w:rsidRDefault="00491E0E">
      <w:pPr>
        <w:spacing w:after="160" w:line="276" w:lineRule="auto"/>
        <w:jc w:val="both"/>
      </w:pPr>
      <w:r>
        <w:rPr>
          <w:color w:val="000000"/>
        </w:rPr>
        <w:t xml:space="preserve">Model performance was assessed by: (1) Discrimination: mean AUC (C-statistic) across bootstrap iterations; (2) Calibration: Brier score and graphical calibration plots using the rms::calibrate() function </w:t>
      </w:r>
      <w:r>
        <w:rPr>
          <w:color w:val="000000"/>
        </w:rPr>
        <w:t>with 200 bootstrap resamples; (3) Internal validation: Harrell's optimism-corrected C-statistic using validate() in the rms package. Decision curve analysis (DCA) was used to assess net clinical benefit across a range of probability thresholds.</w:t>
      </w:r>
    </w:p>
    <w:p w14:paraId="6BFAE2B8" w14:textId="77777777" w:rsidR="00E72D07" w:rsidRDefault="00491E0E">
      <w:pPr>
        <w:spacing w:after="160" w:line="276" w:lineRule="auto"/>
        <w:jc w:val="both"/>
      </w:pPr>
      <w:r>
        <w:rPr>
          <w:color w:val="000000"/>
        </w:rPr>
        <w:t>Final model</w:t>
      </w:r>
      <w:r>
        <w:rPr>
          <w:color w:val="000000"/>
        </w:rPr>
        <w:t xml:space="preserve">s were displayed as nomograms using the rms package. All analyses were conducted in R version 4.5.1 (R Foundation for Statistical Computing, Vienna, Austria). Significance threshold was α = 0.05 (two-sided). Key packages used: survival, survminer, cmprsk, </w:t>
      </w:r>
      <w:r>
        <w:rPr>
          <w:color w:val="000000"/>
        </w:rPr>
        <w:t>rmst2, mice, glmnet, caret, rms, pROC, DescTools, cutpointr, future, future.apply.</w:t>
      </w:r>
    </w:p>
    <w:p w14:paraId="12D8990B" w14:textId="77777777" w:rsidR="00E72D07" w:rsidRDefault="00491E0E">
      <w:pPr>
        <w:pStyle w:val="Heading2"/>
      </w:pPr>
      <w:r>
        <w:t>3.6 Ethics</w:t>
      </w:r>
    </w:p>
    <w:p w14:paraId="1A73F990" w14:textId="77777777" w:rsidR="00E72D07" w:rsidRDefault="00491E0E">
      <w:pPr>
        <w:spacing w:after="160" w:line="276" w:lineRule="auto"/>
        <w:jc w:val="both"/>
      </w:pPr>
      <w:r>
        <w:rPr>
          <w:color w:val="000000"/>
        </w:rPr>
        <w:t>The study was conducted in accordance with the Declaration of Helsinki. Ethical approval was obtained from the Institutional Review Board of the Hospital of Tropi</w:t>
      </w:r>
      <w:r>
        <w:rPr>
          <w:color w:val="000000"/>
        </w:rPr>
        <w:t>cal Diseases, Ho Chi Minh City (approval number: [INSERT]). Written informed consent was obtained from all participants enrolled in the parent prospective studies (28TB and 29TB).</w:t>
      </w:r>
    </w:p>
    <w:p w14:paraId="6E39D67C" w14:textId="77777777" w:rsidR="00E72D07" w:rsidRDefault="00491E0E">
      <w:pPr>
        <w:pStyle w:val="Heading1"/>
      </w:pPr>
      <w:r>
        <w:t>4. Results</w:t>
      </w:r>
    </w:p>
    <w:p w14:paraId="3BE656B2" w14:textId="77777777" w:rsidR="00E72D07" w:rsidRDefault="00491E0E">
      <w:pPr>
        <w:pStyle w:val="Heading2"/>
      </w:pPr>
      <w:r>
        <w:t>4.1 Patient Characteristics by Treatment Regimen</w:t>
      </w:r>
    </w:p>
    <w:p w14:paraId="0E98CA0D" w14:textId="77777777" w:rsidR="00E72D07" w:rsidRDefault="00491E0E">
      <w:pPr>
        <w:pStyle w:val="Heading3"/>
      </w:pPr>
      <w:r>
        <w:t>4.1.1 Demographi</w:t>
      </w:r>
      <w:r>
        <w:t>cs, Anthropometrics, and Vital Signs</w:t>
      </w:r>
    </w:p>
    <w:p w14:paraId="168C10F8" w14:textId="77777777" w:rsidR="00E72D07" w:rsidRDefault="00491E0E">
      <w:pPr>
        <w:spacing w:after="160" w:line="276" w:lineRule="auto"/>
        <w:jc w:val="both"/>
      </w:pPr>
      <w:r>
        <w:rPr>
          <w:color w:val="000000"/>
        </w:rPr>
        <w:t xml:space="preserve">A total of 912 patients were included in the analysis. The characteristics are summarized in Table 2. Gender distribution was broadly similar across regimens (p = 0.097), with males comprising 75.6–88.3% of patients in </w:t>
      </w:r>
      <w:r>
        <w:rPr>
          <w:color w:val="000000"/>
        </w:rPr>
        <w:t>each group. Age differed significantly among regimens (p = 0.001): patients in the 8-month retreatment group were older (median 48 years, IQR 44–55) compared to the 6-month (41 years), 9-month (42 years), and 20-month (41 years) groups. Occupation, weight,</w:t>
      </w:r>
      <w:r>
        <w:rPr>
          <w:color w:val="000000"/>
        </w:rPr>
        <w:t xml:space="preserve"> height, and BMI were comparable across groups. Vital signs—systolic and diastolic blood pressure and body temperature—differed significantly (p &lt; 0.001 for all), with notably lower values in the 9-month regimen group.</w:t>
      </w:r>
    </w:p>
    <w:p w14:paraId="1673AF12" w14:textId="77777777" w:rsidR="00E72D07" w:rsidRDefault="00491E0E">
      <w:pPr>
        <w:pStyle w:val="Heading3"/>
      </w:pPr>
      <w:r>
        <w:t>4.1.2 Behavioral Factors, Comorbiditi</w:t>
      </w:r>
      <w:r>
        <w:t>es, and TB History</w:t>
      </w:r>
    </w:p>
    <w:p w14:paraId="6F10091F" w14:textId="77777777" w:rsidR="00E72D07" w:rsidRDefault="00491E0E">
      <w:pPr>
        <w:spacing w:after="160" w:line="276" w:lineRule="auto"/>
        <w:jc w:val="both"/>
      </w:pPr>
      <w:r>
        <w:rPr>
          <w:color w:val="000000"/>
        </w:rPr>
        <w:t>Significant differences were observed in smoking status (p &lt; 0.001), with current smokers predominating in the 8-month regimen (40.3%) compared to other groups. HIV prevalence varied across regimens (p = 0.014), being highest in the 20-m</w:t>
      </w:r>
      <w:r>
        <w:rPr>
          <w:color w:val="000000"/>
        </w:rPr>
        <w:t>onth group (10.5%). Prior TB treatment history showed striking contrasts (p &lt; 0.001): the 6-month regimen was almost exclusively treatment-naive (99.4%), while the 8-month group was predominantly retreatment (94.8%). BCG vaccination rates also differed sig</w:t>
      </w:r>
      <w:r>
        <w:rPr>
          <w:color w:val="000000"/>
        </w:rPr>
        <w:t>nificantly (p &lt; 0.001), with 80.4% vaccinated in the 9-month group. Alcohol use and diabetes prevalence were relatively balanced across regimens (p &gt; 0.15 for both).</w:t>
      </w:r>
    </w:p>
    <w:p w14:paraId="553AE452" w14:textId="77777777" w:rsidR="00E72D07" w:rsidRDefault="00491E0E">
      <w:pPr>
        <w:pStyle w:val="Heading3"/>
      </w:pPr>
      <w:r>
        <w:t>4.1.3 Clinical Symptoms</w:t>
      </w:r>
    </w:p>
    <w:p w14:paraId="4F55F395" w14:textId="77777777" w:rsidR="00E72D07" w:rsidRDefault="00491E0E">
      <w:pPr>
        <w:spacing w:after="160" w:line="276" w:lineRule="auto"/>
        <w:jc w:val="both"/>
      </w:pPr>
      <w:r>
        <w:rPr>
          <w:color w:val="000000"/>
        </w:rPr>
        <w:t>Night sweats were significantly more frequent in the 9-month group</w:t>
      </w:r>
      <w:r>
        <w:rPr>
          <w:color w:val="000000"/>
        </w:rPr>
        <w:t xml:space="preserve"> (44% vs. 18–32% in other groups; p &lt; 0.001). Malaise was also most prevalent in the 9-month group (67%; p &lt; 0.001). Dyspnea was significantly higher in the 9-month group (37% vs. 16–20%; p &lt; 0.001). Cough (94–95%) and sputum production (85–91%) were near-</w:t>
      </w:r>
      <w:r>
        <w:rPr>
          <w:color w:val="000000"/>
        </w:rPr>
        <w:t>universal across all regimens. Chest pain differed significantly (p = 0.024), being most common in the 8-month and 9-month groups (39% each). Weight loss, low-grade fever, and haemoptysis did not differ significantly.</w:t>
      </w:r>
    </w:p>
    <w:p w14:paraId="2F6E7425" w14:textId="77777777" w:rsidR="00E72D07" w:rsidRDefault="00491E0E">
      <w:pPr>
        <w:pStyle w:val="Heading2"/>
      </w:pPr>
      <w:r>
        <w:t>4.2 Culture Conversion: Visualization</w:t>
      </w:r>
    </w:p>
    <w:p w14:paraId="3B6A8130" w14:textId="77777777" w:rsidR="00E72D07" w:rsidRDefault="00491E0E">
      <w:pPr>
        <w:spacing w:after="160" w:line="276" w:lineRule="auto"/>
        <w:jc w:val="both"/>
      </w:pPr>
      <w:r>
        <w:rPr>
          <w:color w:val="000000"/>
        </w:rPr>
        <w:t>Figure 1 shows the culture heatmap displaying sputum culture status (Negative = green; Positive = red; No sputum = white) across all follow-up timepoints from N0 to T24, ordered by regimen and treatment outcome (Good o</w:t>
      </w:r>
      <w:r>
        <w:rPr>
          <w:color w:val="000000"/>
        </w:rPr>
        <w:t>utcome, Bad outcome, Lost to Follow-up). The heatmap illustrates the rapid initial negativization seen in many 6-month and 9-month patients and the more prolonged conversion trajectories in the 20-month group, consistent with the more severe drug-resistant</w:t>
      </w:r>
      <w:r>
        <w:rPr>
          <w:color w:val="000000"/>
        </w:rPr>
        <w:t xml:space="preserve"> disease in that population.</w:t>
      </w:r>
    </w:p>
    <w:p w14:paraId="7FEAEECB" w14:textId="77777777" w:rsidR="00E72D07" w:rsidRDefault="00491E0E">
      <w:pPr>
        <w:spacing w:before="160" w:after="160"/>
        <w:jc w:val="center"/>
      </w:pPr>
      <w:r>
        <w:rPr>
          <w:i/>
          <w:iCs/>
          <w:color w:val="808080"/>
          <w:sz w:val="18"/>
          <w:szCs w:val="18"/>
        </w:rPr>
        <w:t>[Figure 1: Culture Status Heatmap – Culture_Heatmap_Fixed_v1.png]</w:t>
      </w:r>
    </w:p>
    <w:p w14:paraId="72D7D236" w14:textId="77777777" w:rsidR="00E72D07" w:rsidRDefault="00491E0E">
      <w:pPr>
        <w:spacing w:before="60" w:after="60"/>
      </w:pPr>
      <w:r>
        <w:rPr>
          <w:i/>
          <w:iCs/>
          <w:color w:val="666666"/>
          <w:sz w:val="16"/>
          <w:szCs w:val="16"/>
        </w:rPr>
        <w:t>Figure 1. Heatmap of sputum culture status over time for 912 TB patients, ordered by treatment regimen and outcome category. Green = culture-negative; Red = culture-positive; White = no sputum sample. Rows represent individual patients; columns represent f</w:t>
      </w:r>
      <w:r>
        <w:rPr>
          <w:i/>
          <w:iCs/>
          <w:color w:val="666666"/>
          <w:sz w:val="16"/>
          <w:szCs w:val="16"/>
        </w:rPr>
        <w:t>ollow-up timepoints (N0 through T24).</w:t>
      </w:r>
    </w:p>
    <w:p w14:paraId="5CA8542E" w14:textId="77777777" w:rsidR="00E72D07" w:rsidRDefault="00491E0E">
      <w:pPr>
        <w:pStyle w:val="Heading2"/>
      </w:pPr>
      <w:r>
        <w:t>4.3 Survival Analysis: Time to Culture Conversion</w:t>
      </w:r>
    </w:p>
    <w:p w14:paraId="40B25E93" w14:textId="77777777" w:rsidR="00E72D07" w:rsidRDefault="00491E0E">
      <w:pPr>
        <w:pStyle w:val="Heading3"/>
      </w:pPr>
      <w:r>
        <w:t>4.3.1 Kaplan-Meier Estimates</w:t>
      </w:r>
    </w:p>
    <w:p w14:paraId="15E2FC88" w14:textId="77777777" w:rsidR="00E72D07" w:rsidRDefault="00491E0E">
      <w:pPr>
        <w:spacing w:after="160" w:line="276" w:lineRule="auto"/>
        <w:jc w:val="both"/>
      </w:pPr>
      <w:r>
        <w:rPr>
          <w:color w:val="000000"/>
        </w:rPr>
        <w:t>Kaplan-Meier curves for time to first culture conversion stratified by treatment regimen are presented in Figure 2. The log-rank test demon</w:t>
      </w:r>
      <w:r>
        <w:rPr>
          <w:color w:val="000000"/>
        </w:rPr>
        <w:t xml:space="preserve">strated a statistically significant difference in conversion rates across regimens (p &lt; 0.001). Patients receiving the 6-month regimen had the most rapid conversion, with an estimated median conversion time of approximately 60 days (95% CI: [INSERT]). The </w:t>
      </w:r>
      <w:r>
        <w:rPr>
          <w:color w:val="000000"/>
        </w:rPr>
        <w:t>9-month regimen group had a similar but slightly slower conversion trajectory. The 8-month retreatment group showed intermediate conversion, while the 20-month long regimen group had the most delayed conversion pattern, consistent with more severe underlyi</w:t>
      </w:r>
      <w:r>
        <w:rPr>
          <w:color w:val="000000"/>
        </w:rPr>
        <w:t>ng drug resistance.</w:t>
      </w:r>
    </w:p>
    <w:p w14:paraId="3FFE99B0" w14:textId="77777777" w:rsidR="00E72D07" w:rsidRDefault="00491E0E">
      <w:pPr>
        <w:spacing w:after="160" w:line="276" w:lineRule="auto"/>
        <w:jc w:val="both"/>
      </w:pPr>
      <w:r>
        <w:rPr>
          <w:color w:val="000000"/>
        </w:rPr>
        <w:t>The 180-day conversion probability was estimated at [INSERT]% (95% CI [INSERT]) for the 6-month regimen, [INSERT]% for the 8-month, [INSERT]% for the 9-month, and [INSERT]% for the 20-month regimen.</w:t>
      </w:r>
    </w:p>
    <w:p w14:paraId="255ADC31" w14:textId="77777777" w:rsidR="00E72D07" w:rsidRDefault="00491E0E">
      <w:pPr>
        <w:pStyle w:val="Heading3"/>
      </w:pPr>
      <w:r>
        <w:t>4.3.2 Restricted Mean Survival Time</w:t>
      </w:r>
    </w:p>
    <w:p w14:paraId="29BE02D1" w14:textId="77777777" w:rsidR="00E72D07" w:rsidRDefault="00491E0E">
      <w:pPr>
        <w:spacing w:after="160" w:line="276" w:lineRule="auto"/>
        <w:jc w:val="both"/>
      </w:pPr>
      <w:r>
        <w:rPr>
          <w:color w:val="000000"/>
        </w:rPr>
        <w:t>R</w:t>
      </w:r>
      <w:r>
        <w:rPr>
          <w:color w:val="000000"/>
        </w:rPr>
        <w:t>MST differences at 300 days compared with the 20-month regimen (reference) are presented in Table [INSERT]. Patients in the 6-month regimen had approximately 109 more days (95% CI: 83–135) in culture-converted status up to 300 days compared with the 20-mon</w:t>
      </w:r>
      <w:r>
        <w:rPr>
          <w:color w:val="000000"/>
        </w:rPr>
        <w:t>th regimen. The 8-month regimen showed approximately 79 more days (95% CI: 45–113), and the 9-month regimen showed approximately [INSERT] more days of converted time. These RMST differences were statistically significant for the 6-month and 8-month compari</w:t>
      </w:r>
      <w:r>
        <w:rPr>
          <w:color w:val="000000"/>
        </w:rPr>
        <w:t>sons.</w:t>
      </w:r>
    </w:p>
    <w:p w14:paraId="797EDC8C" w14:textId="77777777" w:rsidR="00E72D07" w:rsidRDefault="00491E0E">
      <w:pPr>
        <w:pStyle w:val="Heading3"/>
      </w:pPr>
      <w:r>
        <w:t>4.3.3 Competing Risks Analysis (Fine-Gray Model)</w:t>
      </w:r>
    </w:p>
    <w:p w14:paraId="12DFD1C9" w14:textId="77777777" w:rsidR="00E72D07" w:rsidRDefault="00491E0E">
      <w:pPr>
        <w:spacing w:after="160" w:line="276" w:lineRule="auto"/>
        <w:jc w:val="both"/>
      </w:pPr>
      <w:r>
        <w:rPr>
          <w:color w:val="000000"/>
        </w:rPr>
        <w:t>Cumulative incidence of culture conversion accounting for mortality as a competing event was estimated using the Fine-Gray subdistribution hazard model (Figure 3). Compared with the 20-month regimen, t</w:t>
      </w:r>
      <w:r>
        <w:rPr>
          <w:color w:val="000000"/>
        </w:rPr>
        <w:t>he 6-month regimen group had a 0.36 higher cumulative incidence of conversion at 300 days (95% CI: 0.24–0.47), and the 8-month regimen had a 0.28 higher incidence (95% CI: 0.14–0.43). These findings are consistent with the Kaplan-Meier estimates and confir</w:t>
      </w:r>
      <w:r>
        <w:rPr>
          <w:color w:val="000000"/>
        </w:rPr>
        <w:t>m that the advantage of shorter regimens in achieving conversion persists after accounting for the competing risk of death.</w:t>
      </w:r>
    </w:p>
    <w:p w14:paraId="2F7FC74A" w14:textId="77777777" w:rsidR="00E72D07" w:rsidRDefault="00491E0E">
      <w:pPr>
        <w:spacing w:after="160" w:line="276" w:lineRule="auto"/>
        <w:jc w:val="both"/>
      </w:pPr>
      <w:r>
        <w:rPr>
          <w:color w:val="000000"/>
        </w:rPr>
        <w:t>For the secondary endpoint of treatment failure as a competing event (alongside conversion and death), the 6-month and 8-month regim</w:t>
      </w:r>
      <w:r>
        <w:rPr>
          <w:color w:val="000000"/>
        </w:rPr>
        <w:t>ens showed approximately 8.5 and 17.0 more days to failure respectively (95% CI overlapping zero), suggesting no statistically significant difference in time-to-failure between regimens after competing-risks adjustment.</w:t>
      </w:r>
    </w:p>
    <w:p w14:paraId="540D2F5C" w14:textId="77777777" w:rsidR="00E72D07" w:rsidRDefault="00491E0E">
      <w:pPr>
        <w:pStyle w:val="Heading2"/>
      </w:pPr>
      <w:r>
        <w:t>4.4 Predictors of Unfavorable Treatm</w:t>
      </w:r>
      <w:r>
        <w:t>ent Outcome</w:t>
      </w:r>
    </w:p>
    <w:p w14:paraId="18DEAF38" w14:textId="77777777" w:rsidR="00E72D07" w:rsidRDefault="00491E0E">
      <w:pPr>
        <w:pStyle w:val="Heading3"/>
      </w:pPr>
      <w:r>
        <w:t>4.4.1 Variable Selection: LASSO and AIC</w:t>
      </w:r>
    </w:p>
    <w:p w14:paraId="31F4C62B" w14:textId="77777777" w:rsidR="00E72D07" w:rsidRDefault="00491E0E">
      <w:pPr>
        <w:spacing w:after="160" w:line="276" w:lineRule="auto"/>
        <w:jc w:val="both"/>
      </w:pPr>
      <w:r>
        <w:rPr>
          <w:color w:val="000000"/>
        </w:rPr>
        <w:t>After 50 imputations and 200 bootstrap resamples, the LASSO model selected the following predictors in ≥50% of iterations: anemia (yes/no), HIV co-infection, age, clinical severity score, duration of illn</w:t>
      </w:r>
      <w:r>
        <w:rPr>
          <w:color w:val="000000"/>
        </w:rPr>
        <w:t>ess (DUR), neutrophil-to-lymphocyte ratio (NEU_LYM), and Timika score. The AIC-based stepwise model consistently selected: age, clinical severity score, and NEU_LYM as the most parsimonious set of predictors.</w:t>
      </w:r>
    </w:p>
    <w:p w14:paraId="16633CC3" w14:textId="77777777" w:rsidR="00E72D07" w:rsidRDefault="00491E0E">
      <w:pPr>
        <w:pStyle w:val="Heading3"/>
      </w:pPr>
      <w:r>
        <w:t>4.4.2 Pooled Multivariable Results</w:t>
      </w:r>
    </w:p>
    <w:p w14:paraId="781EAFD8" w14:textId="77777777" w:rsidR="00E72D07" w:rsidRDefault="00491E0E">
      <w:pPr>
        <w:spacing w:after="160" w:line="276" w:lineRule="auto"/>
        <w:jc w:val="both"/>
      </w:pPr>
      <w:r>
        <w:rPr>
          <w:color w:val="000000"/>
        </w:rPr>
        <w:t>After poolin</w:t>
      </w:r>
      <w:r>
        <w:rPr>
          <w:color w:val="000000"/>
        </w:rPr>
        <w:t>g using Rubin's rules across the multiple imputation-bootstrap framework, the LASSO model demonstrated that older age (OR per 10 years: [INSERT]; 95% CI: [INSERT]), HIV co-infection (OR: [INSERT]; 95% CI: [INSERT]), presence of anemia (OR: [INSERT]), highe</w:t>
      </w:r>
      <w:r>
        <w:rPr>
          <w:color w:val="000000"/>
        </w:rPr>
        <w:t>r NEU_LYM ratio (OR per unit: [INSERT]), higher Timika score (OR per unit: [INSERT]), and longer duration of illness (OR per week: [INSERT]) were independently associated with unfavorable treatment outcome. Treatment regimen (as a proxy for drug-resistance</w:t>
      </w:r>
      <w:r>
        <w:rPr>
          <w:color w:val="000000"/>
        </w:rPr>
        <w:t xml:space="preserve"> category) remained significantly associated with outcome even after adjustment for these covariates.</w:t>
      </w:r>
    </w:p>
    <w:p w14:paraId="4C4CFBB6" w14:textId="77777777" w:rsidR="00E72D07" w:rsidRDefault="00491E0E">
      <w:pPr>
        <w:pStyle w:val="Heading3"/>
      </w:pPr>
      <w:r>
        <w:t>4.4.3 Model Performance</w:t>
      </w:r>
    </w:p>
    <w:p w14:paraId="406153E7" w14:textId="77777777" w:rsidR="00E72D07" w:rsidRDefault="00491E0E">
      <w:pPr>
        <w:spacing w:after="160" w:line="276" w:lineRule="auto"/>
        <w:jc w:val="both"/>
      </w:pPr>
      <w:r>
        <w:rPr>
          <w:color w:val="000000"/>
        </w:rPr>
        <w:t xml:space="preserve">The LASSO-selected prediction model achieved a mean AUC of approximately 0.78 (range across bootstrap iterations: 0.70–0.85) with </w:t>
      </w:r>
      <w:r>
        <w:rPr>
          <w:color w:val="000000"/>
        </w:rPr>
        <w:t>a mean Brier score of approximately 0.16. The optimism-corrected C-statistic from Harrell's bootstrap validation was [INSERT]. Calibration plots showed adequate agreement between predicted and observed probabilities across the risk spectrum (Figure 4). The</w:t>
      </w:r>
      <w:r>
        <w:rPr>
          <w:color w:val="000000"/>
        </w:rPr>
        <w:t xml:space="preserve"> AIC-based parsimonious model (age + clinical score + NEU_LYM) achieved a slightly lower mean AUC of approximately [INSERT] but with better calibration in lower-risk patients.</w:t>
      </w:r>
    </w:p>
    <w:p w14:paraId="70DC9623" w14:textId="77777777" w:rsidR="00E72D07" w:rsidRDefault="00491E0E">
      <w:pPr>
        <w:spacing w:after="160" w:line="276" w:lineRule="auto"/>
        <w:jc w:val="both"/>
      </w:pPr>
      <w:r>
        <w:rPr>
          <w:color w:val="000000"/>
        </w:rPr>
        <w:t>Nomograms displaying individual-level risk estimation for both the LASSO model a</w:t>
      </w:r>
      <w:r>
        <w:rPr>
          <w:color w:val="000000"/>
        </w:rPr>
        <w:t>nd the AIC model are presented in Figures 5 and 6, respectively. These tools allow clinicians to input individual patient characteristics and derive an estimated probability of unfavorable treatment outcome.</w:t>
      </w:r>
    </w:p>
    <w:p w14:paraId="5978B905" w14:textId="77777777" w:rsidR="00E72D07" w:rsidRDefault="00491E0E">
      <w:pPr>
        <w:pStyle w:val="Heading1"/>
      </w:pPr>
      <w:r>
        <w:t>5. Discussion</w:t>
      </w:r>
    </w:p>
    <w:p w14:paraId="075EDBD9" w14:textId="77777777" w:rsidR="00E72D07" w:rsidRDefault="00491E0E">
      <w:pPr>
        <w:spacing w:after="160" w:line="276" w:lineRule="auto"/>
        <w:jc w:val="both"/>
      </w:pPr>
      <w:r>
        <w:rPr>
          <w:color w:val="000000"/>
        </w:rPr>
        <w:t>This study presents a comprehensiv</w:t>
      </w:r>
      <w:r>
        <w:rPr>
          <w:color w:val="000000"/>
        </w:rPr>
        <w:t>e analysis of TB treatment outcomes across four distinct treatment regimens in a large Vietnamese cohort of 912 patients, integrating survival analysis, competing-risks modeling, and internally validated prediction models. Several key findings merit discus</w:t>
      </w:r>
      <w:r>
        <w:rPr>
          <w:color w:val="000000"/>
        </w:rPr>
        <w:t>sion.</w:t>
      </w:r>
    </w:p>
    <w:p w14:paraId="5D24BDF1" w14:textId="77777777" w:rsidR="00E72D07" w:rsidRDefault="00491E0E">
      <w:pPr>
        <w:spacing w:after="160" w:line="276" w:lineRule="auto"/>
        <w:jc w:val="both"/>
      </w:pPr>
      <w:r>
        <w:rPr>
          <w:color w:val="000000"/>
        </w:rPr>
        <w:t>First, we confirm that the standard 6-month DS-TB regimen achieves the most rapid culture conversion, consistent with its established efficacy for drug-susceptible disease [2,3]. The 9-month MDR-TB regimen showed comparable performance to the 6-month</w:t>
      </w:r>
      <w:r>
        <w:rPr>
          <w:color w:val="000000"/>
        </w:rPr>
        <w:t xml:space="preserve"> regimen in terms of conversion trajectory, which is notable given that these patients had rifampicin-resistant disease. This finding aligns with the evidence base that supported WHO's 2022 recommendation of the 9-month regimen as a preferred option for MD</w:t>
      </w:r>
      <w:r>
        <w:rPr>
          <w:color w:val="000000"/>
        </w:rPr>
        <w:t>R/RR-TB without fluoroquinolone resistance [5].</w:t>
      </w:r>
    </w:p>
    <w:p w14:paraId="6597A389" w14:textId="77777777" w:rsidR="00E72D07" w:rsidRDefault="00491E0E">
      <w:pPr>
        <w:spacing w:after="160" w:line="276" w:lineRule="auto"/>
        <w:jc w:val="both"/>
      </w:pPr>
      <w:r>
        <w:rPr>
          <w:color w:val="000000"/>
        </w:rPr>
        <w:t xml:space="preserve">Second, the use of RMST as the primary measure of treatment effect—rather than the hazard ratio—has important advantages in this context. The proportional hazards assumption may not hold across regimens with </w:t>
      </w:r>
      <w:r>
        <w:rPr>
          <w:color w:val="000000"/>
        </w:rPr>
        <w:t xml:space="preserve">fundamentally different treatment durations and mechanisms. RMST provides an absolute, clinically interpretable estimate of the 'gain' in converted days over a specified time horizon [9,10]. Our RMST analysis confirmed that patients on the 6-month regimen </w:t>
      </w:r>
      <w:r>
        <w:rPr>
          <w:color w:val="000000"/>
        </w:rPr>
        <w:t>gained approximately 109 days of culture-converted time within 300 days compared with the 20-month regimen, a clinically meaningful difference.</w:t>
      </w:r>
    </w:p>
    <w:p w14:paraId="0569A892" w14:textId="77777777" w:rsidR="00E72D07" w:rsidRDefault="00491E0E">
      <w:pPr>
        <w:spacing w:after="160" w:line="276" w:lineRule="auto"/>
        <w:jc w:val="both"/>
      </w:pPr>
      <w:r>
        <w:rPr>
          <w:color w:val="000000"/>
        </w:rPr>
        <w:t>Third, the competing-risks analysis using the Fine-Gray model appropriately addresses the non-negligible mortali</w:t>
      </w:r>
      <w:r>
        <w:rPr>
          <w:color w:val="000000"/>
        </w:rPr>
        <w:t>ty rate in the MDR-TB groups. Standard Kaplan-Meier estimates treating death as a censoring event would overestimate conversion probabilities in higher-mortality groups [11]. Our competing-risks results confirm the advantage of shorter regimens in achievin</w:t>
      </w:r>
      <w:r>
        <w:rPr>
          <w:color w:val="000000"/>
        </w:rPr>
        <w:t>g conversion while accounting for this important competing event.</w:t>
      </w:r>
    </w:p>
    <w:p w14:paraId="4174AECC" w14:textId="77777777" w:rsidR="00E72D07" w:rsidRDefault="00491E0E">
      <w:pPr>
        <w:spacing w:after="160" w:line="276" w:lineRule="auto"/>
        <w:jc w:val="both"/>
      </w:pPr>
      <w:r>
        <w:rPr>
          <w:color w:val="000000"/>
        </w:rPr>
        <w:t>Fourth, we identified a clinically coherent set of predictors for unfavorable outcome. Anemia, HIV co-infection, high NEU_LYM ratio, elevated Timika score, and longer pre-treatment illness duration—all markers of disease severity and immune compromise—were</w:t>
      </w:r>
      <w:r>
        <w:rPr>
          <w:color w:val="000000"/>
        </w:rPr>
        <w:t xml:space="preserve"> associated with poor outcomes. These findings are consistent with prior literature [13,14]. Notably, the Timika score—a chest X-ray-based severity score specifically developed for TB [15]—demonstrated independent predictive value, supporting its routine c</w:t>
      </w:r>
      <w:r>
        <w:rPr>
          <w:color w:val="000000"/>
        </w:rPr>
        <w:t>linical use as a risk-stratification tool.</w:t>
      </w:r>
    </w:p>
    <w:p w14:paraId="3462A612" w14:textId="77777777" w:rsidR="00E72D07" w:rsidRDefault="00491E0E">
      <w:pPr>
        <w:spacing w:after="160" w:line="276" w:lineRule="auto"/>
        <w:jc w:val="both"/>
      </w:pPr>
      <w:r>
        <w:rPr>
          <w:color w:val="000000"/>
        </w:rPr>
        <w:t>Fifth, our prediction modeling framework—combining multiple imputation with bootstrap internal validation—provides robust estimates of model performance that account for both missing data uncertainty and overfitti</w:t>
      </w:r>
      <w:r>
        <w:rPr>
          <w:color w:val="000000"/>
        </w:rPr>
        <w:t>ng [12]. The LASSO model's mean AUC of ~0.78 is comparable to previously published prediction models for TB outcomes in similar settings [13,16]. The nomograms derived from these models provide practical, patient-level risk tools for clinical decision-maki</w:t>
      </w:r>
      <w:r>
        <w:rPr>
          <w:color w:val="000000"/>
        </w:rPr>
        <w:t>ng.</w:t>
      </w:r>
    </w:p>
    <w:p w14:paraId="4789D1D6" w14:textId="77777777" w:rsidR="00E72D07" w:rsidRDefault="00491E0E">
      <w:pPr>
        <w:spacing w:after="160" w:line="276" w:lineRule="auto"/>
        <w:jc w:val="both"/>
      </w:pPr>
      <w:r>
        <w:rPr>
          <w:color w:val="000000"/>
        </w:rPr>
        <w:t>This study has several limitations. First, it is retrospective and observational, limiting causal inference. Selection bias is possible as patients who died very early may not have had complete follow-up data. Second, the use of two different culture c</w:t>
      </w:r>
      <w:r>
        <w:rPr>
          <w:color w:val="000000"/>
        </w:rPr>
        <w:t>onversion definitions (28TB vs. 29TB cohorts) introduces heterogeneity in the primary endpoint. Third, newer WHO-recommended regimens (BPaLM, BDLLfxC) were not available to patients in this cohort, limiting direct comparison with contemporary guidelines. F</w:t>
      </w:r>
      <w:r>
        <w:rPr>
          <w:color w:val="000000"/>
        </w:rPr>
        <w:t>ourth, molecular characterization (WGS-based drug susceptibility) was available for a subset of patients. Fifth, external validation of the prediction models was not performed.</w:t>
      </w:r>
    </w:p>
    <w:p w14:paraId="0D43DBA8" w14:textId="77777777" w:rsidR="00E72D07" w:rsidRDefault="00491E0E">
      <w:pPr>
        <w:spacing w:after="160" w:line="276" w:lineRule="auto"/>
        <w:jc w:val="both"/>
      </w:pPr>
      <w:r>
        <w:rPr>
          <w:color w:val="000000"/>
        </w:rPr>
        <w:t>The context of evolving global TB treatment guidelines is important. The 2022 W</w:t>
      </w:r>
      <w:r>
        <w:rPr>
          <w:color w:val="000000"/>
        </w:rPr>
        <w:t>HO guidelines prioritize the BPaLM regimen (bedaquiline, pretomanid, linezolid 600 mg, moxifloxacin) as the preferred option for MDR/RR-TB and pre-XDR-TB, representing a paradigm shift from injectable-based regimens [5]. The 2024 WHO update and BEAT-TB/end</w:t>
      </w:r>
      <w:r>
        <w:rPr>
          <w:color w:val="000000"/>
        </w:rPr>
        <w:t>TB trial data provide additional evidence for 6-month regimens based on bedaquiline-delamanid combinations [6]. The 2025 ATS/CDC/ERS/IDSA guidelines adapted these recommendations for clinical practice in diverse settings [7]. As Vietnam's national TB progr</w:t>
      </w:r>
      <w:r>
        <w:rPr>
          <w:color w:val="000000"/>
        </w:rPr>
        <w:t>amme transitions to these newer regimens, the baseline data and prediction models presented here provide important historical context for outcome benchmarking.</w:t>
      </w:r>
    </w:p>
    <w:p w14:paraId="7F4E787F" w14:textId="77777777" w:rsidR="00E72D07" w:rsidRDefault="00491E0E">
      <w:pPr>
        <w:pStyle w:val="Heading1"/>
      </w:pPr>
      <w:r>
        <w:t>6. Conclusions</w:t>
      </w:r>
    </w:p>
    <w:p w14:paraId="00719062" w14:textId="77777777" w:rsidR="00E72D07" w:rsidRDefault="00491E0E">
      <w:pPr>
        <w:spacing w:after="160" w:line="276" w:lineRule="auto"/>
        <w:jc w:val="both"/>
      </w:pPr>
      <w:r>
        <w:rPr>
          <w:color w:val="000000"/>
        </w:rPr>
        <w:t xml:space="preserve">In this large Vietnamese TB cohort, treatment regimen, clinical severity (Timika </w:t>
      </w:r>
      <w:r>
        <w:rPr>
          <w:color w:val="000000"/>
        </w:rPr>
        <w:t>score, clinical score), immune status (HIV, NEU_LYM, anemia), and duration of illness were the principal determinants of treatment outcome and culture conversion time. Survival analysis methods—including RMST and competing-risks modeling—provide a more com</w:t>
      </w:r>
      <w:r>
        <w:rPr>
          <w:color w:val="000000"/>
        </w:rPr>
        <w:t>plete and robust picture of treatment effectiveness than simple binary outcome comparisons. The internally validated prediction nomograms integrating anemia, HIV status, age, clinical severity, and the neutrophil-to-lymphocyte ratio can facilitate individu</w:t>
      </w:r>
      <w:r>
        <w:rPr>
          <w:color w:val="000000"/>
        </w:rPr>
        <w:t>alized risk stratification in TB clinical practice.</w:t>
      </w:r>
    </w:p>
    <w:p w14:paraId="1FBCB6FA" w14:textId="77777777" w:rsidR="00E72D07" w:rsidRDefault="00491E0E">
      <w:pPr>
        <w:spacing w:after="160" w:line="276" w:lineRule="auto"/>
        <w:jc w:val="both"/>
      </w:pPr>
      <w:r>
        <w:rPr>
          <w:color w:val="000000"/>
        </w:rPr>
        <w:t>These findings, while derived from a cohort treated under pre-2022 WHO guidelines, provide a valuable benchmark for future evaluation of outcomes under updated BPaLM-based and novel shortened MDR-TB regimens as Vietnam transitions to WHO-recommended contem</w:t>
      </w:r>
      <w:r>
        <w:rPr>
          <w:color w:val="000000"/>
        </w:rPr>
        <w:t>porary protocols.</w:t>
      </w:r>
    </w:p>
    <w:p w14:paraId="25C45137" w14:textId="77777777" w:rsidR="00E72D07" w:rsidRDefault="00491E0E">
      <w:pPr>
        <w:pStyle w:val="Heading1"/>
      </w:pPr>
      <w:r>
        <w:t>7. References</w:t>
      </w:r>
    </w:p>
    <w:p w14:paraId="776C7964" w14:textId="77777777" w:rsidR="00E72D07" w:rsidRDefault="00491E0E">
      <w:pPr>
        <w:spacing w:after="100"/>
        <w:ind w:left="360" w:hanging="360"/>
      </w:pPr>
      <w:r>
        <w:rPr>
          <w:sz w:val="18"/>
          <w:szCs w:val="18"/>
        </w:rPr>
        <w:t>[1] World Health Organization. Global Tuberculosis Report 2024. Geneva: WHO; 2024. Available from: https://www.who.int/publications/i/item/9789240101531</w:t>
      </w:r>
    </w:p>
    <w:p w14:paraId="1779E1B0" w14:textId="77777777" w:rsidR="00E72D07" w:rsidRDefault="00491E0E">
      <w:pPr>
        <w:spacing w:after="100"/>
        <w:ind w:left="360" w:hanging="360"/>
      </w:pPr>
      <w:r>
        <w:rPr>
          <w:sz w:val="18"/>
          <w:szCs w:val="18"/>
        </w:rPr>
        <w:t>[2] World Health Organization. WHO Consolidated Guidelines on Tuberculo</w:t>
      </w:r>
      <w:r>
        <w:rPr>
          <w:sz w:val="18"/>
          <w:szCs w:val="18"/>
        </w:rPr>
        <w:t>sis. Module 4: Treatment — Drug-Susceptible Tuberculosis Treatment. Geneva: WHO; 2022. Available from: https://www.who.int/publications/i/item/9789240048515</w:t>
      </w:r>
    </w:p>
    <w:p w14:paraId="39D3CB78" w14:textId="77777777" w:rsidR="00E72D07" w:rsidRDefault="00491E0E">
      <w:pPr>
        <w:spacing w:after="100"/>
        <w:ind w:left="360" w:hanging="360"/>
      </w:pPr>
      <w:r>
        <w:rPr>
          <w:sz w:val="18"/>
          <w:szCs w:val="18"/>
        </w:rPr>
        <w:t>[3] Nahid P, Dorman SE, Alipanah N, et al. Official American Thoracic Society/Centers for Disease C</w:t>
      </w:r>
      <w:r>
        <w:rPr>
          <w:sz w:val="18"/>
          <w:szCs w:val="18"/>
        </w:rPr>
        <w:t>ontrol and Prevention/Infectious Diseases Society of America Clinical Practice Guidelines: Treatment of Drug-Susceptible Tuberculosis. Clin Infect Dis. 2016;63(7):e147–e195.</w:t>
      </w:r>
    </w:p>
    <w:p w14:paraId="0D318CB8" w14:textId="77777777" w:rsidR="00E72D07" w:rsidRDefault="00491E0E">
      <w:pPr>
        <w:spacing w:after="100"/>
        <w:ind w:left="360" w:hanging="360"/>
      </w:pPr>
      <w:r>
        <w:rPr>
          <w:sz w:val="18"/>
          <w:szCs w:val="18"/>
        </w:rPr>
        <w:t>[4] Lange C, Chesov D, Heyckendorf J, et al. Drug-resistant tuberculosis: An updat</w:t>
      </w:r>
      <w:r>
        <w:rPr>
          <w:sz w:val="18"/>
          <w:szCs w:val="18"/>
        </w:rPr>
        <w:t>e on disease burden, diagnosis and treatment. Respirology. 2018;23(7):656–673.</w:t>
      </w:r>
    </w:p>
    <w:p w14:paraId="40F02551" w14:textId="77777777" w:rsidR="00E72D07" w:rsidRDefault="00491E0E">
      <w:pPr>
        <w:spacing w:after="100"/>
        <w:ind w:left="360" w:hanging="360"/>
      </w:pPr>
      <w:r>
        <w:rPr>
          <w:sz w:val="18"/>
          <w:szCs w:val="18"/>
        </w:rPr>
        <w:t>[5] World Health Organization. WHO Consolidated Guidelines on Tuberculosis. Module 4: Treatment — Drug-Resistant Tuberculosis Treatment, 2022 Update. Geneva: WHO; 2022. Availabl</w:t>
      </w:r>
      <w:r>
        <w:rPr>
          <w:sz w:val="18"/>
          <w:szCs w:val="18"/>
        </w:rPr>
        <w:t>e from: https://www.who.int/publications/i/item/9789240063129</w:t>
      </w:r>
    </w:p>
    <w:p w14:paraId="57D47049" w14:textId="77777777" w:rsidR="00E72D07" w:rsidRDefault="00491E0E">
      <w:pPr>
        <w:spacing w:after="100"/>
        <w:ind w:left="360" w:hanging="360"/>
      </w:pPr>
      <w:r>
        <w:rPr>
          <w:sz w:val="18"/>
          <w:szCs w:val="18"/>
        </w:rPr>
        <w:t>[6] World Health Organization. Key Updates to the Treatment of Drug-Resistant TB: Rapid Communication. Geneva: WHO; 2024.</w:t>
      </w:r>
    </w:p>
    <w:p w14:paraId="0BE494E3" w14:textId="77777777" w:rsidR="00E72D07" w:rsidRDefault="00491E0E">
      <w:pPr>
        <w:spacing w:after="100"/>
        <w:ind w:left="360" w:hanging="360"/>
      </w:pPr>
      <w:r>
        <w:rPr>
          <w:sz w:val="18"/>
          <w:szCs w:val="18"/>
        </w:rPr>
        <w:t>[7] Nahid P, Mase SR, Migliori GB, et al. ATS/CDC/ERS/IDSA Clinical Prac</w:t>
      </w:r>
      <w:r>
        <w:rPr>
          <w:sz w:val="18"/>
          <w:szCs w:val="18"/>
        </w:rPr>
        <w:t>tice Guideline: Treatment of Drug-Susceptible and Drug-Resistant Tuberculosis. Am J Respir Crit Care Med. 2025;[Epub ahead of print].</w:t>
      </w:r>
    </w:p>
    <w:p w14:paraId="5B307F50" w14:textId="77777777" w:rsidR="00E72D07" w:rsidRDefault="00491E0E">
      <w:pPr>
        <w:spacing w:after="100"/>
        <w:ind w:left="360" w:hanging="360"/>
      </w:pPr>
      <w:r>
        <w:rPr>
          <w:sz w:val="18"/>
          <w:szCs w:val="18"/>
        </w:rPr>
        <w:t>[8] Prentice RL, Williams BJ, Peterson AV. On the regression analysis of multivariate failure time data. Biometrika. 1981;</w:t>
      </w:r>
      <w:r>
        <w:rPr>
          <w:sz w:val="18"/>
          <w:szCs w:val="18"/>
        </w:rPr>
        <w:t>68(2):373–379.</w:t>
      </w:r>
    </w:p>
    <w:p w14:paraId="6E90F867" w14:textId="77777777" w:rsidR="00E72D07" w:rsidRDefault="00491E0E">
      <w:pPr>
        <w:spacing w:after="100"/>
        <w:ind w:left="360" w:hanging="360"/>
      </w:pPr>
      <w:r>
        <w:rPr>
          <w:sz w:val="18"/>
          <w:szCs w:val="18"/>
        </w:rPr>
        <w:t>[9] Uno H, Claggett B, Tian L, et al. Moving beyond the hazard ratio in quantifying the between-group difference in survival analysis. J Clin Oncol. 2014;32(22):2380–2385.</w:t>
      </w:r>
    </w:p>
    <w:p w14:paraId="4A96672D" w14:textId="77777777" w:rsidR="00E72D07" w:rsidRDefault="00491E0E">
      <w:pPr>
        <w:spacing w:after="100"/>
        <w:ind w:left="360" w:hanging="360"/>
      </w:pPr>
      <w:r>
        <w:rPr>
          <w:sz w:val="18"/>
          <w:szCs w:val="18"/>
        </w:rPr>
        <w:t>[10] Royston P, Parmar MKB. Restricted mean survival time: an alterna</w:t>
      </w:r>
      <w:r>
        <w:rPr>
          <w:sz w:val="18"/>
          <w:szCs w:val="18"/>
        </w:rPr>
        <w:t>tive to the hazard ratio for the design and analysis of randomized trials with a time-to-event outcome. BMC Med Res Methodol. 2011;11:152.</w:t>
      </w:r>
    </w:p>
    <w:p w14:paraId="07010896" w14:textId="77777777" w:rsidR="00E72D07" w:rsidRDefault="00491E0E">
      <w:pPr>
        <w:spacing w:after="100"/>
        <w:ind w:left="360" w:hanging="360"/>
      </w:pPr>
      <w:r>
        <w:rPr>
          <w:sz w:val="18"/>
          <w:szCs w:val="18"/>
        </w:rPr>
        <w:t>[11] Fine JP, Gray RJ. A proportional hazards model for the subdistribution of a competing risk. J Am Stat Assoc. 199</w:t>
      </w:r>
      <w:r>
        <w:rPr>
          <w:sz w:val="18"/>
          <w:szCs w:val="18"/>
        </w:rPr>
        <w:t>9;94(446):496–509.</w:t>
      </w:r>
    </w:p>
    <w:p w14:paraId="4DB310CC" w14:textId="77777777" w:rsidR="00E72D07" w:rsidRDefault="00491E0E">
      <w:pPr>
        <w:spacing w:after="100"/>
        <w:ind w:left="360" w:hanging="360"/>
      </w:pPr>
      <w:r>
        <w:rPr>
          <w:sz w:val="18"/>
          <w:szCs w:val="18"/>
        </w:rPr>
        <w:t>[12] van Buuren S, Groothuis-Oudshoorn K. mice: Multivariate Imputation by Chained Equations in R. J Stat Softw. 2011;45(3):1–67.</w:t>
      </w:r>
    </w:p>
    <w:p w14:paraId="699845B0" w14:textId="77777777" w:rsidR="00E72D07" w:rsidRDefault="00491E0E">
      <w:pPr>
        <w:spacing w:after="100"/>
        <w:ind w:left="360" w:hanging="360"/>
      </w:pPr>
      <w:r>
        <w:rPr>
          <w:sz w:val="18"/>
          <w:szCs w:val="18"/>
        </w:rPr>
        <w:t>[13] Lienhardt C, Nahid P. Advances in science for the control of TB 2019. Nat Med. 2019;25(10):1512–1520.</w:t>
      </w:r>
    </w:p>
    <w:p w14:paraId="11B65A24" w14:textId="77777777" w:rsidR="00E72D07" w:rsidRDefault="00491E0E">
      <w:pPr>
        <w:spacing w:after="100"/>
        <w:ind w:left="360" w:hanging="360"/>
      </w:pPr>
      <w:r>
        <w:rPr>
          <w:sz w:val="18"/>
          <w:szCs w:val="18"/>
        </w:rPr>
        <w:t>[14] Cegielski JP, McMurray DN. The relationship between malnutrition and tuberculosis: evidence from studies in humans and experimental animals. Int J Tuberc Lung Dis. 2004;8(3):286–298.</w:t>
      </w:r>
    </w:p>
    <w:p w14:paraId="1BACCB75" w14:textId="77777777" w:rsidR="00E72D07" w:rsidRDefault="00491E0E">
      <w:pPr>
        <w:spacing w:after="100"/>
        <w:ind w:left="360" w:hanging="360"/>
      </w:pPr>
      <w:r>
        <w:rPr>
          <w:sz w:val="18"/>
          <w:szCs w:val="18"/>
        </w:rPr>
        <w:t>[15] Kruk A, Gie RP, Schaaf HS, Marais BJ. Symptom-based screening o</w:t>
      </w:r>
      <w:r>
        <w:rPr>
          <w:sz w:val="18"/>
          <w:szCs w:val="18"/>
        </w:rPr>
        <w:t>f child tuberculosis contacts: improved feasibility in resource-limited settings. Pediatrics. 2008;121(6):e1646–e1652.</w:t>
      </w:r>
    </w:p>
    <w:p w14:paraId="4F05F9B5" w14:textId="77777777" w:rsidR="00E72D07" w:rsidRDefault="00491E0E">
      <w:pPr>
        <w:spacing w:after="100"/>
        <w:ind w:left="360" w:hanging="360"/>
      </w:pPr>
      <w:r>
        <w:rPr>
          <w:sz w:val="18"/>
          <w:szCs w:val="18"/>
        </w:rPr>
        <w:t>[16] Takiff H, Feo O. The uncertain future of tuberculosis treatment. J Infect Dev Ctries. 2015;9(6):559–573.</w:t>
      </w:r>
    </w:p>
    <w:p w14:paraId="3349630E" w14:textId="77777777" w:rsidR="00E72D07" w:rsidRDefault="00491E0E">
      <w:pPr>
        <w:spacing w:after="100"/>
        <w:ind w:left="360" w:hanging="360"/>
      </w:pPr>
      <w:r>
        <w:rPr>
          <w:sz w:val="18"/>
          <w:szCs w:val="18"/>
        </w:rPr>
        <w:t xml:space="preserve">[17] Vanino E, Granozzi B, </w:t>
      </w:r>
      <w:r>
        <w:rPr>
          <w:sz w:val="18"/>
          <w:szCs w:val="18"/>
        </w:rPr>
        <w:t>Akkerman OW, et al. Update of drug-resistant tuberculosis treatment guidelines: A turning point. Int J Infect Dis. 2023;130 Suppl 1:S12–S15.</w:t>
      </w:r>
    </w:p>
    <w:p w14:paraId="2169E2CF" w14:textId="77777777" w:rsidR="00E72D07" w:rsidRDefault="00491E0E">
      <w:pPr>
        <w:spacing w:after="100"/>
        <w:ind w:left="360" w:hanging="360"/>
      </w:pPr>
      <w:r>
        <w:rPr>
          <w:sz w:val="18"/>
          <w:szCs w:val="18"/>
        </w:rPr>
        <w:t>[18] Nimmo C, Millard J, Brien K, et al. Population-level emergence of bedaquiline and clofazimine resistance-assoc</w:t>
      </w:r>
      <w:r>
        <w:rPr>
          <w:sz w:val="18"/>
          <w:szCs w:val="18"/>
        </w:rPr>
        <w:t>iated variants among patients with drug-resistant tuberculosis in a high-burden setting: an observational cohort study. Lancet Microbe. 2020;1(4):e165–e174.</w:t>
      </w:r>
    </w:p>
    <w:p w14:paraId="762EE70D" w14:textId="77777777" w:rsidR="00E72D07" w:rsidRDefault="00491E0E">
      <w:pPr>
        <w:spacing w:after="100"/>
        <w:ind w:left="360" w:hanging="360"/>
      </w:pPr>
      <w:r>
        <w:rPr>
          <w:sz w:val="18"/>
          <w:szCs w:val="18"/>
        </w:rPr>
        <w:t>[19] Tibshirani R. Regression shrinkage and selection via the lasso. J R Stat Soc B. 1996;58(1):267–288.</w:t>
      </w:r>
    </w:p>
    <w:p w14:paraId="0062E559" w14:textId="77777777" w:rsidR="00E72D07" w:rsidRDefault="00491E0E">
      <w:pPr>
        <w:spacing w:after="100"/>
        <w:ind w:left="360" w:hanging="360"/>
      </w:pPr>
      <w:r>
        <w:rPr>
          <w:sz w:val="18"/>
          <w:szCs w:val="18"/>
        </w:rPr>
        <w:t>[20] Harrell FE Jr. Regression Modeling Strategies. 2nd ed. New York: Springer; 2015.</w:t>
      </w:r>
    </w:p>
    <w:sectPr w:rsidR="00E72D0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E89C3" w14:textId="77777777" w:rsidR="00491E0E" w:rsidRDefault="00491E0E">
      <w:r>
        <w:separator/>
      </w:r>
    </w:p>
  </w:endnote>
  <w:endnote w:type="continuationSeparator" w:id="0">
    <w:p w14:paraId="0C9FDA95" w14:textId="77777777" w:rsidR="00491E0E" w:rsidRDefault="00491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9835" w14:textId="77777777" w:rsidR="00E72D07" w:rsidRDefault="00491E0E">
    <w:pPr>
      <w:pBdr>
        <w:top w:val="single" w:sz="6"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17D0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17D0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7D4E7" w14:textId="77777777" w:rsidR="00491E0E" w:rsidRDefault="00491E0E">
      <w:r>
        <w:separator/>
      </w:r>
    </w:p>
  </w:footnote>
  <w:footnote w:type="continuationSeparator" w:id="0">
    <w:p w14:paraId="495019D1" w14:textId="77777777" w:rsidR="00491E0E" w:rsidRDefault="00491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8A89E" w14:textId="77777777" w:rsidR="00E72D07" w:rsidRDefault="00491E0E">
    <w:pPr>
      <w:pBdr>
        <w:bottom w:val="single" w:sz="6" w:space="1" w:color="2E75B6"/>
      </w:pBdr>
      <w:jc w:val="right"/>
    </w:pPr>
    <w:r>
      <w:rPr>
        <w:color w:val="555555"/>
        <w:sz w:val="18"/>
        <w:szCs w:val="18"/>
      </w:rPr>
      <w:t>Survival Analysis &amp; Prediction Models — TB Treat</w:t>
    </w:r>
    <w:r>
      <w:rPr>
        <w:color w:val="555555"/>
        <w:sz w:val="18"/>
        <w:szCs w:val="18"/>
      </w:rPr>
      <w:t>ment Outcomes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F33F82"/>
    <w:multiLevelType w:val="hybridMultilevel"/>
    <w:tmpl w:val="56207092"/>
    <w:lvl w:ilvl="0" w:tplc="FD203F2A">
      <w:start w:val="1"/>
      <w:numFmt w:val="bullet"/>
      <w:lvlText w:val="●"/>
      <w:lvlJc w:val="left"/>
      <w:pPr>
        <w:ind w:left="720" w:hanging="360"/>
      </w:pPr>
    </w:lvl>
    <w:lvl w:ilvl="1" w:tplc="A4781182">
      <w:start w:val="1"/>
      <w:numFmt w:val="bullet"/>
      <w:lvlText w:val="○"/>
      <w:lvlJc w:val="left"/>
      <w:pPr>
        <w:ind w:left="1440" w:hanging="360"/>
      </w:pPr>
    </w:lvl>
    <w:lvl w:ilvl="2" w:tplc="22986256">
      <w:start w:val="1"/>
      <w:numFmt w:val="bullet"/>
      <w:lvlText w:val="■"/>
      <w:lvlJc w:val="left"/>
      <w:pPr>
        <w:ind w:left="2160" w:hanging="360"/>
      </w:pPr>
    </w:lvl>
    <w:lvl w:ilvl="3" w:tplc="F5ECFB60">
      <w:start w:val="1"/>
      <w:numFmt w:val="bullet"/>
      <w:lvlText w:val="●"/>
      <w:lvlJc w:val="left"/>
      <w:pPr>
        <w:ind w:left="2880" w:hanging="360"/>
      </w:pPr>
    </w:lvl>
    <w:lvl w:ilvl="4" w:tplc="31620D20">
      <w:start w:val="1"/>
      <w:numFmt w:val="bullet"/>
      <w:lvlText w:val="○"/>
      <w:lvlJc w:val="left"/>
      <w:pPr>
        <w:ind w:left="3600" w:hanging="360"/>
      </w:pPr>
    </w:lvl>
    <w:lvl w:ilvl="5" w:tplc="03A05E7C">
      <w:start w:val="1"/>
      <w:numFmt w:val="bullet"/>
      <w:lvlText w:val="■"/>
      <w:lvlJc w:val="left"/>
      <w:pPr>
        <w:ind w:left="4320" w:hanging="360"/>
      </w:pPr>
    </w:lvl>
    <w:lvl w:ilvl="6" w:tplc="13DADEDA">
      <w:start w:val="1"/>
      <w:numFmt w:val="bullet"/>
      <w:lvlText w:val="●"/>
      <w:lvlJc w:val="left"/>
      <w:pPr>
        <w:ind w:left="5040" w:hanging="360"/>
      </w:pPr>
    </w:lvl>
    <w:lvl w:ilvl="7" w:tplc="09A45070">
      <w:start w:val="1"/>
      <w:numFmt w:val="bullet"/>
      <w:lvlText w:val="●"/>
      <w:lvlJc w:val="left"/>
      <w:pPr>
        <w:ind w:left="5760" w:hanging="360"/>
      </w:pPr>
    </w:lvl>
    <w:lvl w:ilvl="8" w:tplc="5224BD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D07"/>
    <w:rsid w:val="00491E0E"/>
    <w:rsid w:val="00E72D07"/>
    <w:rsid w:val="00F1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4977"/>
  <w15:docId w15:val="{F2B5B944-5BE9-47BA-8925-C17EF1E8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F5496"/>
      <w:sz w:val="24"/>
      <w:szCs w:val="24"/>
    </w:rPr>
  </w:style>
  <w:style w:type="paragraph" w:styleId="Heading3">
    <w:name w:val="heading 3"/>
    <w:uiPriority w:val="9"/>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17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uc.du@oucru.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5332</Words>
  <Characters>30393</Characters>
  <Application>Microsoft Office Word</Application>
  <DocSecurity>0</DocSecurity>
  <Lines>253</Lines>
  <Paragraphs>71</Paragraphs>
  <ScaleCrop>false</ScaleCrop>
  <Company/>
  <LinksUpToDate>false</LinksUpToDate>
  <CharactersWithSpaces>35654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Du Hong</cp:lastModifiedBy>
  <cp:revision>2</cp:revision>
  <dcterms:created xsi:type="dcterms:W3CDTF">2026-06-02T04:40:00Z</dcterms:created>
  <dcterms:modified xsi:type="dcterms:W3CDTF">2026-06-02T04:48:00Z</dcterms:modified>
</cp:coreProperties>
</file>