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苏州画宗人工智能科技有限公司 · 企业历史沿革与发展历程报告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18"/>
        </w:rPr>
        <w:t>档位：小微档 · 识别依据：无上市、无融资，注册资本 300万元 ≤ 1000万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18"/>
        </w:rPr>
        <w:t>生成时间：2026-04-24 15:08 · 调用成本：25c (¥2.5)</w:t>
      </w:r>
    </w:p>
    <w:p>
      <w:pPr>
        <w:spacing w:before="200" w:after="80"/>
        <w:pBdr>
          <w:left w:val="single" w:sz="36" w:space="6" w:color="2563EB"/>
        </w:pBdr>
      </w:pPr>
      <w:r>
        <w:rPr>
          <w:rFonts w:ascii="Microsoft YaHei" w:hAnsi="Microsoft YaHei" w:eastAsia="Microsoft YaHei"/>
          <w:b/>
          <w:color w:val="1A73E8"/>
          <w:sz w:val="32"/>
        </w:rPr>
        <w:t>一、公司概况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4703"/>
            <w:shd w:val="clear" w:color="auto"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4703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企业名称</w:t>
            </w:r>
          </w:p>
        </w:tc>
        <w:tc>
          <w:tcPr>
            <w:tcW w:type="dxa" w:w="4703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苏州画宗人工智能科技有限公司</w:t>
            </w:r>
          </w:p>
        </w:tc>
      </w:tr>
      <w:tr>
        <w:tc>
          <w:tcPr>
            <w:tcW w:type="dxa" w:w="4703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统一社会信用代码</w:t>
            </w:r>
          </w:p>
        </w:tc>
        <w:tc>
          <w:tcPr>
            <w:tcW w:type="dxa" w:w="4703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91320507MAK2970DXC</w:t>
            </w:r>
          </w:p>
        </w:tc>
      </w:tr>
      <w:tr>
        <w:tc>
          <w:tcPr>
            <w:tcW w:type="dxa" w:w="4703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成立日期</w:t>
            </w:r>
          </w:p>
        </w:tc>
        <w:tc>
          <w:tcPr>
            <w:tcW w:type="dxa" w:w="4703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2025-11-27</w:t>
            </w:r>
          </w:p>
        </w:tc>
      </w:tr>
      <w:tr>
        <w:tc>
          <w:tcPr>
            <w:tcW w:type="dxa" w:w="4703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注册资本</w:t>
            </w:r>
          </w:p>
        </w:tc>
        <w:tc>
          <w:tcPr>
            <w:tcW w:type="dxa" w:w="4703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300万元</w:t>
            </w:r>
          </w:p>
        </w:tc>
      </w:tr>
      <w:tr>
        <w:tc>
          <w:tcPr>
            <w:tcW w:type="dxa" w:w="4703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经营期限</w:t>
            </w:r>
          </w:p>
        </w:tc>
        <w:tc>
          <w:tcPr>
            <w:tcW w:type="dxa" w:w="4703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2025-11-27至无固定期限</w:t>
            </w:r>
          </w:p>
        </w:tc>
      </w:tr>
      <w:tr>
        <w:tc>
          <w:tcPr>
            <w:tcW w:type="dxa" w:w="4703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企业类型</w:t>
            </w:r>
          </w:p>
        </w:tc>
        <w:tc>
          <w:tcPr>
            <w:tcW w:type="dxa" w:w="4703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有限责任公司（自然人投资或控股）</w:t>
            </w:r>
          </w:p>
        </w:tc>
      </w:tr>
      <w:tr>
        <w:tc>
          <w:tcPr>
            <w:tcW w:type="dxa" w:w="4703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行业</w:t>
            </w:r>
          </w:p>
        </w:tc>
        <w:tc>
          <w:tcPr>
            <w:tcW w:type="dxa" w:w="4703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软件和信息技术服务业</w:t>
            </w:r>
          </w:p>
        </w:tc>
      </w:tr>
      <w:tr>
        <w:tc>
          <w:tcPr>
            <w:tcW w:type="dxa" w:w="4703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经营状态</w:t>
            </w:r>
          </w:p>
        </w:tc>
        <w:tc>
          <w:tcPr>
            <w:tcW w:type="dxa" w:w="4703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在业</w:t>
            </w:r>
          </w:p>
        </w:tc>
      </w:tr>
      <w:tr>
        <w:tc>
          <w:tcPr>
            <w:tcW w:type="dxa" w:w="4703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登记机关</w:t>
            </w:r>
          </w:p>
        </w:tc>
        <w:tc>
          <w:tcPr>
            <w:tcW w:type="dxa" w:w="4703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苏州市相城区数据局</w:t>
            </w:r>
          </w:p>
        </w:tc>
      </w:tr>
    </w:tbl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</w:r>
      <w:r>
        <w:rPr>
          <w:i/>
          <w:color w:val="808080"/>
          <w:sz w:val="16"/>
        </w:rPr>
        <w:t xml:space="preserve">  [来源: qcc-company.get_company_profile + get_company_registration_info · snapshot=2026-04-24]</w:t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sz w:val="20"/>
        </w:rPr>
        <w:t>企业简介：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苏州画宗人工智能科技有限公司成立于2025-11-27，法定代表人为秦文山，注册资本为300万元，统一社会信用代码为91320507MAK2970DXC，企业注册地址位于江苏省苏州市相城区高铁新城青龙港路286号长三角国际研发社区启动区9A幢5层C区20工位（集群登记），所属行业为软件和信息技术服务业。</w:t>
      </w:r>
    </w:p>
    <w:p>
      <w:pPr>
        <w:spacing w:before="200" w:after="80"/>
        <w:pBdr>
          <w:left w:val="single" w:sz="36" w:space="6" w:color="2563EB"/>
        </w:pBdr>
      </w:pPr>
      <w:r>
        <w:rPr>
          <w:rFonts w:ascii="Microsoft YaHei" w:hAnsi="Microsoft YaHei" w:eastAsia="Microsoft YaHei"/>
          <w:b/>
          <w:color w:val="1A73E8"/>
          <w:sz w:val="32"/>
        </w:rPr>
        <w:t>四、股权演变</w:t>
      </w:r>
    </w:p>
    <w:p>
      <w:pPr>
        <w:spacing w:before="200" w:after="80"/>
        <w:pBdr>
          <w:left w:val="single" w:sz="24" w:space="6" w:color="2563EB"/>
        </w:pBdr>
      </w:pPr>
      <w:r>
        <w:rPr>
          <w:rFonts w:ascii="Microsoft YaHei" w:hAnsi="Microsoft YaHei" w:eastAsia="Microsoft YaHei"/>
          <w:b/>
          <w:color w:val="1A73E8"/>
          <w:sz w:val="26"/>
        </w:rPr>
        <w:t>4.1 当前股东与出资结构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股东名称</w:t>
            </w:r>
          </w:p>
        </w:tc>
        <w:tc>
          <w:tcPr>
            <w:tcW w:type="dxa" w:w="1568"/>
            <w:shd w:val="clear" w:color="auto"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持股比例</w:t>
            </w:r>
          </w:p>
        </w:tc>
        <w:tc>
          <w:tcPr>
            <w:tcW w:type="dxa" w:w="1568"/>
            <w:shd w:val="clear" w:color="auto"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认缴出资额</w:t>
            </w:r>
          </w:p>
        </w:tc>
        <w:tc>
          <w:tcPr>
            <w:tcW w:type="dxa" w:w="1568"/>
            <w:shd w:val="clear" w:color="auto"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认缴日期</w:t>
            </w:r>
          </w:p>
        </w:tc>
        <w:tc>
          <w:tcPr>
            <w:tcW w:type="dxa" w:w="1568"/>
            <w:shd w:val="clear" w:color="auto"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实缴出资额</w:t>
            </w:r>
          </w:p>
        </w:tc>
        <w:tc>
          <w:tcPr>
            <w:tcW w:type="dxa" w:w="1568"/>
            <w:shd w:val="clear" w:color="auto"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实缴日期</w:t>
            </w:r>
          </w:p>
        </w:tc>
      </w:tr>
      <w:tr>
        <w:tc>
          <w:tcPr>
            <w:tcW w:type="dxa" w:w="1568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秦文山</w:t>
            </w:r>
          </w:p>
        </w:tc>
        <w:tc>
          <w:tcPr>
            <w:tcW w:type="dxa" w:w="1568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80.00%</w:t>
            </w:r>
          </w:p>
        </w:tc>
        <w:tc>
          <w:tcPr>
            <w:tcW w:type="dxa" w:w="1568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240</w:t>
            </w:r>
          </w:p>
        </w:tc>
        <w:tc>
          <w:tcPr>
            <w:tcW w:type="dxa" w:w="1568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2030-11-20</w:t>
            </w:r>
          </w:p>
        </w:tc>
        <w:tc>
          <w:tcPr>
            <w:tcW w:type="dxa" w:w="1568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568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1568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王妍</w:t>
            </w:r>
          </w:p>
        </w:tc>
        <w:tc>
          <w:tcPr>
            <w:tcW w:type="dxa" w:w="1568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10.00%</w:t>
            </w:r>
          </w:p>
        </w:tc>
        <w:tc>
          <w:tcPr>
            <w:tcW w:type="dxa" w:w="1568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30</w:t>
            </w:r>
          </w:p>
        </w:tc>
        <w:tc>
          <w:tcPr>
            <w:tcW w:type="dxa" w:w="1568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2030-11-20</w:t>
            </w:r>
          </w:p>
        </w:tc>
        <w:tc>
          <w:tcPr>
            <w:tcW w:type="dxa" w:w="1568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568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1568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杨雪</w:t>
            </w:r>
          </w:p>
        </w:tc>
        <w:tc>
          <w:tcPr>
            <w:tcW w:type="dxa" w:w="1568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10.00%</w:t>
            </w:r>
          </w:p>
        </w:tc>
        <w:tc>
          <w:tcPr>
            <w:tcW w:type="dxa" w:w="1568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30</w:t>
            </w:r>
          </w:p>
        </w:tc>
        <w:tc>
          <w:tcPr>
            <w:tcW w:type="dxa" w:w="1568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2030-11-20</w:t>
            </w:r>
          </w:p>
        </w:tc>
        <w:tc>
          <w:tcPr>
            <w:tcW w:type="dxa" w:w="1568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568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</w:tr>
    </w:tbl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</w:r>
      <w:r>
        <w:rPr>
          <w:i/>
          <w:color w:val="808080"/>
          <w:sz w:val="16"/>
        </w:rPr>
        <w:t xml:space="preserve">  [来源: qcc-company.get_shareholder_info · snapshot=2026-04-24]</w:t>
      </w:r>
    </w:p>
    <w:p>
      <w:pPr>
        <w:spacing w:before="200" w:after="80"/>
        <w:pBdr>
          <w:left w:val="single" w:sz="36" w:space="6" w:color="2563EB"/>
        </w:pBdr>
      </w:pPr>
      <w:r>
        <w:rPr>
          <w:rFonts w:ascii="Microsoft YaHei" w:hAnsi="Microsoft YaHei" w:eastAsia="Microsoft YaHei"/>
          <w:b/>
          <w:color w:val="1A73E8"/>
          <w:sz w:val="32"/>
        </w:rPr>
        <w:t>六、地址变迁</w:t>
      </w:r>
    </w:p>
    <w:p>
      <w:r>
        <w:drawing>
          <wp:inline xmlns:a="http://schemas.openxmlformats.org/drawingml/2006/main" xmlns:pic="http://schemas.openxmlformats.org/drawingml/2006/picture">
            <wp:extent cx="6120000" cy="3765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76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18"/>
        </w:rPr>
      </w:r>
      <w:r>
        <w:rPr>
          <w:i/>
          <w:color w:val="808080"/>
          <w:sz w:val="16"/>
        </w:rPr>
        <w:t xml:space="preserve">  [来源: qcc-history.get_historical_registration · snapshot=2026-04-24]</w:t>
      </w:r>
    </w:p>
    <w:p>
      <w:pPr>
        <w:spacing w:before="200" w:after="80"/>
        <w:pBdr>
          <w:left w:val="single" w:sz="36" w:space="6" w:color="2563EB"/>
        </w:pBdr>
      </w:pPr>
      <w:r>
        <w:rPr>
          <w:rFonts w:ascii="Microsoft YaHei" w:hAnsi="Microsoft YaHei" w:eastAsia="Microsoft YaHei"/>
          <w:b/>
          <w:color w:val="1A73E8"/>
          <w:sz w:val="32"/>
        </w:rPr>
        <w:t>七、总结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整体评价</w:t>
            </w:r>
          </w:p>
        </w:tc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clean_baseline 清洁基线</w:t>
            </w:r>
          </w:p>
        </w:tc>
      </w:tr>
      <w:tr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股权清洁度</w:t>
            </w:r>
          </w:p>
        </w:tc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未发现公开冻结/质押记录</w:t>
            </w:r>
          </w:p>
        </w:tc>
      </w:tr>
      <w:tr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经营稳定度</w:t>
            </w:r>
          </w:p>
        </w:tc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未发现公开经营异常</w:t>
            </w:r>
          </w:p>
        </w:tc>
      </w:tr>
      <w:tr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成长轨迹</w:t>
            </w:r>
          </w:p>
        </w:tc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变更较少（2 次），属稳定经营</w:t>
            </w:r>
          </w:p>
        </w:tc>
      </w:tr>
    </w:tbl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公开记录未发现显著风险事件。</w:t>
      </w:r>
    </w:p>
    <w:p>
      <w:r>
        <w:br w:type="page"/>
      </w:r>
    </w:p>
    <w:p>
      <w:pPr>
        <w:spacing w:before="200" w:after="80"/>
        <w:pBdr>
          <w:left w:val="single" w:sz="36" w:space="6" w:color="2563EB"/>
        </w:pBdr>
      </w:pPr>
      <w:r>
        <w:rPr>
          <w:rFonts w:ascii="Microsoft YaHei" w:hAnsi="Microsoft YaHei" w:eastAsia="Microsoft YaHei"/>
          <w:b/>
          <w:color w:val="1A73E8"/>
          <w:sz w:val="32"/>
        </w:rPr>
        <w:t>附录 · 工商变更大事年表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18"/>
        </w:rPr>
        <w:t>共 2 条变更记录（按时间倒序，最多展示 40 条）。</w:t>
      </w:r>
    </w:p>
    <w:p>
      <w:r>
        <w:drawing>
          <wp:inline xmlns:a="http://schemas.openxmlformats.org/drawingml/2006/main" xmlns:pic="http://schemas.openxmlformats.org/drawingml/2006/picture">
            <wp:extent cx="6120000" cy="8035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03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18"/>
        </w:rPr>
      </w:r>
      <w:r>
        <w:rPr>
          <w:i/>
          <w:color w:val="808080"/>
          <w:sz w:val="16"/>
        </w:rPr>
        <w:t xml:space="preserve">  [来源: qcc-company.get_change_records · snapshot=2026-04-24]</w:t>
      </w:r>
    </w:p>
    <w:p>
      <w:pPr>
        <w:spacing w:before="200" w:after="80"/>
        <w:pBdr>
          <w:left w:val="single" w:sz="24" w:space="6" w:color="2563EB"/>
        </w:pBdr>
      </w:pPr>
      <w:r>
        <w:rPr>
          <w:rFonts w:ascii="Microsoft YaHei" w:hAnsi="Microsoft YaHei" w:eastAsia="Microsoft YaHei"/>
          <w:b/>
          <w:color w:val="1A73E8"/>
          <w:sz w:val="26"/>
        </w:rPr>
        <w:t>本报告数据源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18"/>
        </w:rPr>
        <w:t>数据源：企查查 MCP 146 工具（V1.1.3，纯 MCP 驱动 + 时间轴 PNG 嵌入）。总成本：25c (¥2.5)。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18"/>
        </w:rPr>
        <w:t>本报告仅依赖企查查 MCP 可公开查询字段；非公示数据（代持定性、一致行动、独立性评估、关联交易明细等）需客户 V2.0 自扩展。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