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RRiF AI Agent — status Faze 1</w:t>
      </w:r>
    </w:p>
    <w:p>
      <w:pPr>
        <w:pBdr>
          <w:bottom w:val="single" w:color="BFBFBF" w:sz="6" w:space="6"/>
        </w:pBdr>
        <w:spacing w:after="200" w:before="0" w:line="250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Priprema za sastanak, 10. rujna 2026.  ·  KRON d.o.o.  ·  mjerenje od 8. rujna 2026.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Gdje smo</w:t>
      </w:r>
    </w:p>
    <w:p>
      <w:pPr>
        <w:spacing w:after="130" w:before="0" w:line="2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Sustav radi od kraja do kraja: pitanje se klasificira, iz baze znanja dohvaća se do deset izvadaka, a odgovor se sastavlja isključivo iz njih, uz navedeni izvor. Baza znanja trenutačno obuhvaća članke iz RRiF-a i PiP-a (33.264 izvatka iz 2014. i 2024. godine). Rezultati u nastavku izmjereni su na 41 kontrolnom pitanju, od kojih je 31 iz područja Faze 1.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Rezultati mjerenja</w:t>
      </w:r>
    </w:p>
    <w:tbl>
      <w:tblPr>
        <w:tblW w:type="dxa" w:w="9746"/>
        <w:tblBorders>
          <w:top w:val="single" w:color="D0D0D0" w:sz="4"/>
          <w:left w:val="none"/>
          <w:bottom w:val="single" w:color="D0D0D0" w:sz="4"/>
          <w:right w:val="none"/>
          <w:insideH w:val="single" w:color="E8E8E8" w:sz="4"/>
          <w:insideV w:val="none"/>
        </w:tblBorders>
      </w:tblPr>
      <w:tblGrid>
        <w:gridCol w:w="6900"/>
        <w:gridCol w:w="2846"/>
      </w:tblGrid>
      <w:tr>
        <w:tc>
          <w:tcPr>
            <w:tcW w:type="dxa" w:w="6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Odgovor sadrži očekivane stručne pojmove</w:t>
            </w:r>
          </w:p>
        </w:tc>
        <w:tc>
          <w:tcPr>
            <w:tcW w:type="dxa" w:w="2846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90,3 %</w:t>
            </w:r>
          </w:p>
        </w:tc>
      </w:tr>
      <w:tr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Sustav odbija odgovoriti kada podatka nema</w:t>
            </w:r>
          </w:p>
        </w:tc>
        <w:tc>
          <w:tcPr>
            <w:tcW w:type="dxa" w:w="28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100 % (4 od 4)</w:t>
            </w:r>
          </w:p>
        </w:tc>
      </w:tr>
      <w:tr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Lažno odbijanje kada podatak postoji</w:t>
            </w:r>
          </w:p>
        </w:tc>
        <w:tc>
          <w:tcPr>
            <w:tcW w:type="dxa" w:w="28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0 % (0 od 37)</w:t>
            </w:r>
          </w:p>
        </w:tc>
      </w:tr>
      <w:tr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Tvrdnje potkrijepljene dohvaćenim izvatkom</w:t>
            </w:r>
          </w:p>
        </w:tc>
        <w:tc>
          <w:tcPr>
            <w:tcW w:type="dxa" w:w="28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98,5 % (389 tvrdnji)</w:t>
            </w:r>
          </w:p>
        </w:tc>
      </w:tr>
      <w:tr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Odgovori koji proturječe izvoru</w:t>
            </w:r>
          </w:p>
        </w:tc>
        <w:tc>
          <w:tcPr>
            <w:tcW w:type="dxa" w:w="28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Prosječno vrijeme odgovora</w:t>
            </w:r>
          </w:p>
        </w:tc>
        <w:tc>
          <w:tcPr>
            <w:tcW w:type="dxa" w:w="28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~24 s</w:t>
            </w:r>
          </w:p>
        </w:tc>
      </w:tr>
      <w:tr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Trošak po odgovoru</w:t>
            </w:r>
          </w:p>
        </w:tc>
        <w:tc>
          <w:tcPr>
            <w:tcW w:type="dxa" w:w="284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3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~0,04 USD</w:t>
            </w:r>
          </w:p>
        </w:tc>
      </w:tr>
    </w:tbl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Što ova brojka nije</w:t>
      </w:r>
    </w:p>
    <w:p>
      <w:pPr>
        <w:spacing w:after="130" w:before="0" w:line="2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Pitanja i mjerilo ocjenjivanja sastavili smo mi. Nijedan odgovor još nije ocijenio savjetnik. Prema dokumentu </w:t>
      </w: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„Prijedlog kriterija prihvaćanja Faze 1”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prihvaćanje se mjeri na 100 stvarnih pitanja, uz dva neovisna ocjenjivača i četverostupanjsku skalu. Vrijednost od 90,3 % pokazatelj je spremnosti za pilot, a ne rezultat prihvaćanja.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Molimo vas dvije stvari</w:t>
      </w:r>
    </w:p>
    <w:p>
      <w:pPr>
        <w:pStyle w:val="ListParagraph"/>
        <w:numPr>
          <w:ilvl w:val="0"/>
          <w:numId w:val="2"/>
        </w:numPr>
        <w:spacing w:after="90" w:before="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Probno ocjenjivanje 31 odgovora. </w:t>
      </w:r>
      <w:r>
        <w:rPr>
          <w:rFonts w:ascii="Arial" w:cs="Arial" w:eastAsia="Arial" w:hAnsi="Arial"/>
          <w:sz w:val="19"/>
          <w:szCs w:val="19"/>
        </w:rPr>
        <w:t xml:space="preserve">Pripremili smo dvije tablice, po jednu za svakog ocjenjivača, sa skalom i poljem „Poslali biste klijentu?” doslovno preuzetim iz kriterija prihvaćanja. Procjena je oko sat vremena po savjetniku. Cilj nije samo ocijeniti sustav, nego jednom provesti sam postupak mjerenja prije pilota — uključujući provjeru slažu li se dva savjetnika oko toga što znači „točno”.</w:t>
      </w:r>
    </w:p>
    <w:p>
      <w:pPr>
        <w:pStyle w:val="ListParagraph"/>
        <w:numPr>
          <w:ilvl w:val="0"/>
          <w:numId w:val="2"/>
        </w:numPr>
        <w:spacing w:after="90" w:before="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Pragovi iz točke 5. kriterija. </w:t>
      </w:r>
      <w:r>
        <w:rPr>
          <w:rFonts w:ascii="Arial" w:cs="Arial" w:eastAsia="Arial" w:hAnsi="Arial"/>
          <w:sz w:val="19"/>
          <w:szCs w:val="19"/>
        </w:rPr>
        <w:t xml:space="preserve">Vrijednosti su ostale nepopunjene. Sada postoji izmjerena brojka koja može poslužiti kao polazište za dogovor.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Dva pitanja o opsegu Faze 1</w:t>
      </w:r>
    </w:p>
    <w:p>
      <w:pPr>
        <w:pStyle w:val="ListParagraph"/>
        <w:numPr>
          <w:ilvl w:val="0"/>
          <w:numId w:val="3"/>
        </w:numPr>
        <w:spacing w:after="90" w:before="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Zakonski tekstovi. </w:t>
      </w:r>
      <w:r>
        <w:rPr>
          <w:rFonts w:ascii="Arial" w:cs="Arial" w:eastAsia="Arial" w:hAnsi="Arial"/>
          <w:sz w:val="19"/>
          <w:szCs w:val="19"/>
        </w:rPr>
        <w:t xml:space="preserve">Na svih šest poreznih pitanja sustav daje sadržajno točan odgovor, ali ga nalazi u RRiF-ovim člancima, a ne u tekstu zakona. Je li odgovor utemeljen na stručnom članku dovoljan za Fazu 1, ili tražite izravno citiranje zakonskog teksta?</w:t>
      </w:r>
    </w:p>
    <w:p>
      <w:pPr>
        <w:pStyle w:val="ListParagraph"/>
        <w:numPr>
          <w:ilvl w:val="0"/>
          <w:numId w:val="3"/>
        </w:numPr>
        <w:spacing w:after="90" w:before="0" w:line="25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Godine u bazi znanja. </w:t>
      </w:r>
      <w:r>
        <w:rPr>
          <w:rFonts w:ascii="Arial" w:cs="Arial" w:eastAsia="Arial" w:hAnsi="Arial"/>
          <w:sz w:val="19"/>
          <w:szCs w:val="19"/>
        </w:rPr>
        <w:t xml:space="preserve">Baza sadrži 2014. i 2024. godinu. Ako se propis promijenio između te dvije godine, sustav će odgovoriti prema starijem članku i to neće uvijek sam prepoznati. Koje godine moraju biti u bazi da bi Faza 1 bila pouzdana?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Što smo u međuvremenu sami pronašli i ispravili</w:t>
      </w:r>
    </w:p>
    <w:p>
      <w:pPr>
        <w:pStyle w:val="ListParagraph"/>
        <w:numPr>
          <w:ilvl w:val="0"/>
          <w:numId w:val="4"/>
        </w:numPr>
        <w:spacing w:after="70" w:before="0" w:line="250"/>
      </w:pPr>
      <w:r>
        <w:rPr>
          <w:rFonts w:ascii="Arial" w:cs="Arial" w:eastAsia="Arial" w:hAnsi="Arial"/>
          <w:sz w:val="19"/>
          <w:szCs w:val="19"/>
        </w:rPr>
        <w:t xml:space="preserve">Polovica baze znanja bila je nevidljiva semantičkom pretraživanju — izvatci su bili dulji od granice modela i tiho su se skraćivali. Baza je iznova izgrađena; udio je sada 0,1 %.</w:t>
      </w:r>
    </w:p>
    <w:p>
      <w:pPr>
        <w:pStyle w:val="ListParagraph"/>
        <w:numPr>
          <w:ilvl w:val="0"/>
          <w:numId w:val="4"/>
        </w:numPr>
        <w:spacing w:after="70" w:before="0" w:line="250"/>
      </w:pPr>
      <w:r>
        <w:rPr>
          <w:rFonts w:ascii="Arial" w:cs="Arial" w:eastAsia="Arial" w:hAnsi="Arial"/>
          <w:sz w:val="19"/>
          <w:szCs w:val="19"/>
        </w:rPr>
        <w:t xml:space="preserve">Izvor naveden uz odgovor bio je u 96,6 % slučajeva odlomak teksta umjesto naslova članka. Sada 8 %.</w:t>
      </w:r>
    </w:p>
    <w:p>
      <w:pPr>
        <w:pStyle w:val="ListParagraph"/>
        <w:numPr>
          <w:ilvl w:val="0"/>
          <w:numId w:val="4"/>
        </w:numPr>
        <w:spacing w:after="70" w:before="0" w:line="250"/>
      </w:pPr>
      <w:r>
        <w:rPr>
          <w:rFonts w:ascii="Arial" w:cs="Arial" w:eastAsia="Arial" w:hAnsi="Arial"/>
          <w:sz w:val="19"/>
          <w:szCs w:val="19"/>
        </w:rPr>
        <w:t xml:space="preserve">Sustav je u jednom odgovoru sam preračunao svotu iz kuna u eure i prikazao je kao važeći podatak. Otkrila ga je naša provjera utemeljenosti; pravilo je ispravljeno i ponovno provjereno.</w:t>
      </w:r>
    </w:p>
    <w:p>
      <w:pPr>
        <w:spacing w:after="100" w:before="120" w:line="25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Sve mjere iz ovog dokumenta ponovljive su iz repozitorija projekta i vezane su uz konkretan zapis mjerenja.</w:t>
      </w:r>
    </w:p>
    <w:sectPr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2026-09-08T13:07:07.226Z</dcterms:created>
  <dcterms:modified xsi:type="dcterms:W3CDTF">2026-09-08T13:07:07.226Z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