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C0D920">
      <w:pPr>
        <w:pStyle w:val="2"/>
        <w:spacing w:before="120" w:after="120" w:line="300" w:lineRule="auto"/>
        <w:jc w:val="center"/>
        <w:rPr>
          <w:rFonts w:hint="default" w:eastAsia="黑体"/>
          <w:b w:val="0"/>
          <w:kern w:val="0"/>
          <w:sz w:val="32"/>
          <w:szCs w:val="32"/>
          <w:lang w:val="en-US" w:eastAsia="zh-CN"/>
        </w:rPr>
      </w:pPr>
      <w:bookmarkStart w:id="13" w:name="_GoBack"/>
      <w:bookmarkEnd w:id="13"/>
      <w:r>
        <w:rPr>
          <w:rFonts w:hint="eastAsia" w:eastAsia="黑体"/>
          <w:b w:val="0"/>
          <w:kern w:val="0"/>
          <w:sz w:val="32"/>
          <w:szCs w:val="32"/>
          <w:lang w:val="en-US" w:eastAsia="zh-CN"/>
        </w:rPr>
        <w:t>纵向建制育人推进研究生集体建设高质量发展</w:t>
      </w:r>
    </w:p>
    <w:p w14:paraId="675129F0">
      <w:pPr>
        <w:spacing w:before="156" w:beforeLines="50" w:after="156" w:afterLines="50" w:line="300" w:lineRule="auto"/>
        <w:jc w:val="center"/>
        <w:rPr>
          <w:rFonts w:hint="default" w:eastAsia="楷体_GB2312" w:cs="宋体"/>
          <w:kern w:val="0"/>
          <w:sz w:val="24"/>
          <w:szCs w:val="20"/>
          <w:lang w:val="en-US"/>
        </w:rPr>
      </w:pPr>
      <w:r>
        <w:rPr>
          <w:rFonts w:hint="eastAsia" w:eastAsia="楷体_GB2312" w:cs="宋体"/>
          <w:kern w:val="0"/>
          <w:sz w:val="24"/>
          <w:szCs w:val="20"/>
          <w:lang w:val="en-US" w:eastAsia="zh-CN"/>
        </w:rPr>
        <w:t>张学峰，安文浩，林士伟，杜晋华</w:t>
      </w:r>
    </w:p>
    <w:p w14:paraId="6628FF7A">
      <w:pPr>
        <w:numPr>
          <w:ilvl w:val="0"/>
          <w:numId w:val="0"/>
        </w:numPr>
        <w:spacing w:before="156" w:beforeLines="50" w:after="156" w:afterLines="50" w:line="300" w:lineRule="auto"/>
        <w:jc w:val="center"/>
        <w:rPr>
          <w:rFonts w:hint="default" w:eastAsia="楷体_GB2312"/>
          <w:lang w:val="en-US" w:eastAsia="zh-CN"/>
        </w:rPr>
      </w:pPr>
      <w:r>
        <w:rPr>
          <w:rFonts w:hint="eastAsia" w:eastAsia="楷体_GB2312"/>
          <w:kern w:val="0"/>
          <w:sz w:val="24"/>
          <w:szCs w:val="20"/>
          <w:lang w:val="en-US" w:eastAsia="zh-CN"/>
        </w:rPr>
        <w:t>清华大学计算机科学与技术系</w:t>
      </w:r>
    </w:p>
    <w:p w14:paraId="632975A7">
      <w:pPr>
        <w:spacing w:before="156" w:beforeLines="50" w:after="156" w:afterLines="50" w:line="300" w:lineRule="auto"/>
        <w:ind w:firstLine="480" w:firstLineChars="200"/>
        <w:rPr>
          <w:b w:val="0"/>
          <w:kern w:val="0"/>
          <w:sz w:val="24"/>
          <w:szCs w:val="20"/>
        </w:rPr>
      </w:pPr>
      <w:r>
        <w:rPr>
          <w:b/>
          <w:kern w:val="0"/>
          <w:sz w:val="24"/>
          <w:szCs w:val="20"/>
        </w:rPr>
        <w:t>摘要：</w:t>
      </w:r>
      <w:r>
        <w:rPr>
          <w:b w:val="0"/>
          <w:kern w:val="0"/>
          <w:sz w:val="24"/>
          <w:szCs w:val="20"/>
        </w:rPr>
        <w:t>清华大学计算机科学与技术系面对研究生群体理性务实、科研任务繁重、理论修养易被忽视等特征，积极探索与实践纵向建制的育人模式，着力推进研究生集体建设高质量发展。该模式以课题组归属为核心划分纵向班级，突破年级限制，紧密围绕立德树人根本任务。论文重点阐述了计算机系如何紧扣中心任务，通过强化导学思政，将党建优势转化为育人实效；发挥专业所长，打造志愿劳动教育品牌，深化思想引领；立足国家战略需求，构建校地合作与就业引导双轮驱动机制；并实施纵向分层施策，精准满足差异化需求，确保集体育人全覆盖。实践表明，纵向建制有效促进了科研实践与集体建设的深度融合，强化了高年级对低年级的“传帮带”作用，筑牢了思想根基，提升了育人质量，为培养担当民族复兴大任的高层次计算机人才提供了有力支撑。</w:t>
      </w:r>
    </w:p>
    <w:p w14:paraId="55942686">
      <w:pPr>
        <w:spacing w:before="156" w:beforeLines="50" w:after="156" w:afterLines="50" w:line="300" w:lineRule="auto"/>
        <w:ind w:firstLine="480" w:firstLineChars="200"/>
        <w:rPr>
          <w:kern w:val="0"/>
          <w:sz w:val="24"/>
          <w:szCs w:val="20"/>
        </w:rPr>
      </w:pPr>
      <w:r>
        <w:rPr>
          <w:b/>
          <w:kern w:val="0"/>
          <w:sz w:val="24"/>
          <w:szCs w:val="20"/>
        </w:rPr>
        <w:t>关键词：</w:t>
      </w:r>
      <w:r>
        <w:rPr>
          <w:rFonts w:hint="eastAsia"/>
          <w:b w:val="0"/>
          <w:kern w:val="0"/>
          <w:sz w:val="24"/>
          <w:szCs w:val="20"/>
        </w:rPr>
        <w:t>纵向班，集体建设，研究生教育</w:t>
      </w:r>
    </w:p>
    <w:p w14:paraId="68BB2D58">
      <w:pPr>
        <w:spacing w:before="156" w:beforeLines="50" w:after="156" w:afterLines="50" w:line="300" w:lineRule="auto"/>
        <w:ind w:firstLine="480" w:firstLineChars="200"/>
        <w:rPr>
          <w:kern w:val="0"/>
          <w:sz w:val="24"/>
          <w:szCs w:val="20"/>
        </w:rPr>
      </w:pPr>
    </w:p>
    <w:p w14:paraId="647C9237">
      <w:pPr>
        <w:spacing w:line="300" w:lineRule="auto"/>
        <w:rPr>
          <w:rFonts w:hint="default" w:eastAsia="宋体"/>
          <w:b/>
          <w:kern w:val="0"/>
          <w:sz w:val="28"/>
          <w:szCs w:val="28"/>
          <w:lang w:val="en-US" w:eastAsia="zh-CN"/>
        </w:rPr>
      </w:pPr>
      <w:r>
        <w:rPr>
          <w:b/>
          <w:kern w:val="0"/>
          <w:sz w:val="28"/>
          <w:szCs w:val="28"/>
        </w:rPr>
        <w:t>一、</w:t>
      </w:r>
      <w:r>
        <w:rPr>
          <w:rFonts w:hint="eastAsia"/>
          <w:b/>
          <w:kern w:val="0"/>
          <w:sz w:val="28"/>
          <w:szCs w:val="28"/>
          <w:lang w:val="en-US" w:eastAsia="zh-CN"/>
        </w:rPr>
        <w:t>引言</w:t>
      </w:r>
    </w:p>
    <w:p w14:paraId="04ACA1EB">
      <w:pPr>
        <w:snapToGrid/>
        <w:spacing w:before="0" w:after="0" w:line="240" w:lineRule="auto"/>
        <w:ind w:left="0" w:right="0" w:firstLine="420" w:firstLineChars="0"/>
        <w:jc w:val="both"/>
        <w:rPr>
          <w:rFonts w:hint="eastAsia"/>
          <w:kern w:val="0"/>
          <w:sz w:val="24"/>
          <w:szCs w:val="20"/>
        </w:rPr>
      </w:pPr>
      <w:r>
        <w:rPr>
          <w:rFonts w:hint="eastAsia"/>
          <w:kern w:val="0"/>
          <w:sz w:val="24"/>
          <w:szCs w:val="20"/>
        </w:rPr>
        <w:t>清华大学计算机科学与技术系研究生群体规模较大（2024-2025学年全日制研究生共七百余人，以博士生为主体），思维理性、严谨务实，崇尚“行胜于言”，注重以实际行动践行使命担当。然而，繁重的科研任务往往导致计算机系研究生在党性修养与理论知识提升方面投入不足。针对这一群体的特点和培养需求，有效的集体建设模式至关重要。计算机系长期探索并实践了一种特色鲜明的集体组织形式——纵向班。纵向班，即以课题组归属为核心划分班级，原则上将同一导师指导的所有研究生（不分年级）纳入同一集体。这种模式突破了传统按入学年份划分的横向班级限制，其核心内涵在于紧密依托科研实践平台，以师生间、高-低年级学生间在科研学术、思想成长上的深度互动交流为主线，构建新型学术共同体与成长集体。该模式肇始于1999年清华大学计研四班的试点，强调导师的因材施教、学生对课题的深度参与以及高年级对低年级在专业学习、科研实践和思想引导上的传承与带动作用。目前，计算机系研究生分布在五个研究所，共组建了15个纵向党支部/班级。本论文旨在系统阐述计算机系如何立足纵向建制这一基础，通过系列创新举措，有效激发集体活力，破解育人难题，推动研究生集体建设实现高质量发展，为培养拔尖创新人才提供坚实保障。</w:t>
      </w:r>
    </w:p>
    <w:p w14:paraId="152DA1AF">
      <w:pPr>
        <w:spacing w:line="300" w:lineRule="auto"/>
        <w:rPr>
          <w:rFonts w:hint="eastAsia"/>
          <w:b/>
          <w:kern w:val="0"/>
          <w:sz w:val="28"/>
          <w:szCs w:val="28"/>
          <w:lang w:val="en-US" w:eastAsia="zh-CN"/>
        </w:rPr>
      </w:pPr>
    </w:p>
    <w:p w14:paraId="71B1FD4E">
      <w:pPr>
        <w:spacing w:line="300" w:lineRule="auto"/>
        <w:rPr>
          <w:rFonts w:hint="default" w:eastAsia="宋体"/>
          <w:b/>
          <w:kern w:val="0"/>
          <w:sz w:val="28"/>
          <w:szCs w:val="28"/>
          <w:lang w:val="en-US" w:eastAsia="zh-CN"/>
        </w:rPr>
      </w:pPr>
      <w:r>
        <w:rPr>
          <w:rFonts w:hint="eastAsia"/>
          <w:b/>
          <w:kern w:val="0"/>
          <w:sz w:val="28"/>
          <w:szCs w:val="28"/>
          <w:lang w:val="en-US" w:eastAsia="zh-CN"/>
        </w:rPr>
        <w:t>二</w:t>
      </w:r>
      <w:r>
        <w:rPr>
          <w:b/>
          <w:kern w:val="0"/>
          <w:sz w:val="28"/>
          <w:szCs w:val="28"/>
        </w:rPr>
        <w:t>、</w:t>
      </w:r>
      <w:r>
        <w:rPr>
          <w:rFonts w:hint="eastAsia"/>
          <w:b/>
          <w:kern w:val="0"/>
          <w:sz w:val="28"/>
          <w:szCs w:val="28"/>
          <w:lang w:val="en-US" w:eastAsia="zh-CN"/>
        </w:rPr>
        <w:t>紧扣中心任务，党建堡垒转化育人成效@张学峰</w:t>
      </w:r>
    </w:p>
    <w:p w14:paraId="178F7F80">
      <w:pPr>
        <w:spacing w:line="300" w:lineRule="auto"/>
        <w:rPr>
          <w:rFonts w:hint="default"/>
          <w:b/>
          <w:kern w:val="0"/>
          <w:sz w:val="28"/>
          <w:szCs w:val="28"/>
          <w:lang w:val="en-US"/>
        </w:rPr>
      </w:pPr>
      <w:r>
        <w:rPr>
          <w:rFonts w:hint="eastAsia"/>
          <w:b/>
          <w:kern w:val="0"/>
          <w:sz w:val="28"/>
          <w:szCs w:val="28"/>
          <w:lang w:val="en-US" w:eastAsia="zh-CN"/>
        </w:rPr>
        <w:t>2</w:t>
      </w:r>
      <w:r>
        <w:rPr>
          <w:b/>
          <w:kern w:val="0"/>
          <w:sz w:val="28"/>
          <w:szCs w:val="28"/>
        </w:rPr>
        <w:t xml:space="preserve">.1 </w:t>
      </w:r>
      <w:r>
        <w:rPr>
          <w:rFonts w:hint="eastAsia"/>
          <w:b/>
          <w:kern w:val="0"/>
          <w:sz w:val="28"/>
          <w:szCs w:val="28"/>
          <w:lang w:val="en-US" w:eastAsia="zh-CN"/>
        </w:rPr>
        <w:t>立足“课题组”导学思政，推动集体建设内涵式发展。</w:t>
      </w:r>
    </w:p>
    <w:p w14:paraId="087AE5A9">
      <w:pPr>
        <w:snapToGrid/>
        <w:spacing w:before="0" w:after="0" w:line="240" w:lineRule="auto"/>
        <w:ind w:left="0" w:right="0" w:firstLine="420" w:firstLineChars="0"/>
        <w:jc w:val="both"/>
        <w:rPr>
          <w:rFonts w:hint="eastAsia"/>
          <w:kern w:val="0"/>
          <w:sz w:val="24"/>
          <w:szCs w:val="20"/>
        </w:rPr>
      </w:pPr>
      <w:r>
        <w:rPr>
          <w:rFonts w:hint="eastAsia"/>
          <w:kern w:val="0"/>
          <w:sz w:val="24"/>
          <w:szCs w:val="20"/>
        </w:rPr>
        <w:t>在第二次全国教育大会上，习近平总书记深刻指出，教育是国之大计、党之大计，是中华民族伟大复兴的基石工程，必须坚持党对教育事业的全面领导，坚持把立德树人作为根本任务，加快推进教育现代化，建设教育强国。高校作为拔尖创新人才培养的主阵地，肩负着培育德智体美劳五育并举全面发展的社会主义建设者和接班人的历史使命。新时代研究生教育日益成为国家科技创新体系的重要支撑力量，高校基层党支部必须主动服务国家战略，牢牢把握“为谁培养人、培养什么人、怎样培养人”的根本问题，在推动教育高质量发展中找准着力点、发挥引领力。</w:t>
      </w:r>
    </w:p>
    <w:p w14:paraId="643415FC">
      <w:pPr>
        <w:snapToGrid/>
        <w:spacing w:before="0" w:after="0" w:line="240" w:lineRule="auto"/>
        <w:ind w:left="0" w:right="0" w:firstLine="420" w:firstLineChars="0"/>
        <w:jc w:val="both"/>
        <w:rPr>
          <w:rFonts w:hint="eastAsia"/>
          <w:kern w:val="0"/>
          <w:sz w:val="24"/>
          <w:szCs w:val="20"/>
        </w:rPr>
      </w:pPr>
      <w:r>
        <w:rPr>
          <w:rFonts w:hint="eastAsia"/>
          <w:kern w:val="0"/>
          <w:sz w:val="24"/>
          <w:szCs w:val="20"/>
        </w:rPr>
        <w:t>在此背景下，如何做好覆盖多年级多阶段的</w:t>
      </w:r>
      <w:r>
        <w:rPr>
          <w:rFonts w:hint="eastAsia"/>
          <w:b/>
          <w:kern w:val="0"/>
          <w:sz w:val="24"/>
          <w:szCs w:val="20"/>
        </w:rPr>
        <w:t>纵向研究生基层党支部</w:t>
      </w:r>
      <w:r>
        <w:rPr>
          <w:rFonts w:hint="eastAsia"/>
          <w:kern w:val="0"/>
          <w:sz w:val="24"/>
          <w:szCs w:val="20"/>
        </w:rPr>
        <w:t>师生共建工作成为整体党建工作的重要命题之一。纵向支部结构上形成纵向跨年级、横向跨课题组联动的组织群体，天然具备开展“全过程育人、全链条联动”的结构优势，是推动思想政治教育与科研成长融合发展的重要载体。在支部治理上，通过纵向联动机制可以实现从入学破冰、学术指导、价值引领，到就业实践的全周期支持；在育人导向上，支部依托科研平台深入推进“导学思政”，把握科研一线的思想脉搏，将党组织的战斗堡垒作用嵌入到科技攻关和人才培养全过程。因此，纵向研究生支部党建不仅是高校党建工作的重要创新形态，更是在新时代教育强国战略中，承载思想引领、组织育人和文化传承功能的重要基石。以纵向组织优势为支点，推动党建与科研协同发力、与教育改革同频共振，是纵向学生基层党支部最鲜明的特色。</w:t>
      </w:r>
    </w:p>
    <w:p w14:paraId="4552DA34">
      <w:pPr>
        <w:spacing w:line="300" w:lineRule="auto"/>
        <w:rPr>
          <w:rFonts w:hint="default" w:eastAsia="宋体"/>
          <w:b/>
          <w:kern w:val="0"/>
          <w:sz w:val="28"/>
          <w:szCs w:val="28"/>
          <w:lang w:val="en-US" w:eastAsia="zh-CN"/>
        </w:rPr>
      </w:pPr>
      <w:r>
        <w:rPr>
          <w:rFonts w:hint="eastAsia"/>
          <w:b/>
          <w:kern w:val="0"/>
          <w:sz w:val="28"/>
          <w:szCs w:val="28"/>
          <w:lang w:val="en-US" w:eastAsia="zh-CN"/>
        </w:rPr>
        <w:t>2</w:t>
      </w:r>
      <w:r>
        <w:rPr>
          <w:b/>
          <w:kern w:val="0"/>
          <w:sz w:val="28"/>
          <w:szCs w:val="28"/>
        </w:rPr>
        <w:t>.</w:t>
      </w:r>
      <w:r>
        <w:rPr>
          <w:rFonts w:hint="eastAsia"/>
          <w:b/>
          <w:kern w:val="0"/>
          <w:sz w:val="28"/>
          <w:szCs w:val="28"/>
          <w:lang w:val="en-US" w:eastAsia="zh-CN"/>
        </w:rPr>
        <w:t>2</w:t>
      </w:r>
      <w:r>
        <w:rPr>
          <w:b/>
          <w:kern w:val="0"/>
          <w:sz w:val="28"/>
          <w:szCs w:val="28"/>
        </w:rPr>
        <w:t xml:space="preserve"> </w:t>
      </w:r>
      <w:r>
        <w:rPr>
          <w:rFonts w:hint="eastAsia"/>
          <w:b/>
          <w:kern w:val="0"/>
          <w:sz w:val="28"/>
          <w:szCs w:val="28"/>
          <w:lang w:val="en-US" w:eastAsia="zh-CN"/>
        </w:rPr>
        <w:t>工作案例：高性能所计研二一党支部</w:t>
      </w:r>
    </w:p>
    <w:p w14:paraId="3C286E9B">
      <w:pPr>
        <w:snapToGrid/>
        <w:spacing w:before="0" w:after="0" w:line="240" w:lineRule="auto"/>
        <w:ind w:left="0" w:right="0" w:firstLine="420" w:firstLineChars="0"/>
        <w:jc w:val="both"/>
        <w:rPr>
          <w:rFonts w:hint="eastAsia"/>
          <w:kern w:val="0"/>
          <w:sz w:val="24"/>
          <w:szCs w:val="20"/>
        </w:rPr>
      </w:pPr>
      <w:bookmarkStart w:id="0" w:name="OLE_LINK72"/>
      <w:bookmarkEnd w:id="0"/>
      <w:bookmarkStart w:id="1" w:name="OLE_LINK73"/>
      <w:r>
        <w:rPr>
          <w:rFonts w:hint="eastAsia"/>
          <w:kern w:val="0"/>
          <w:sz w:val="24"/>
          <w:szCs w:val="20"/>
        </w:rPr>
        <w:t>计研二一党支部为计算机系高性能研究所的纵向学生党支部，支部学生结构组成纵揽各个年级。支部内学生研究课题紧扣国家高质量发展主线任务，包含芯片架构设计、存储系统、高性能计算、超算智算、大模型推理等现代科技前沿课题。支部始终坚持党建引领、坚持问题导向、坚持从实际出发，立足纵向支部特点，深入贯彻学校与计算机系党委工作部署，推进党支部规范化、系统化、实效化建设。支部面向不同年级、不同阶段学生，构建了纵向支部独有的“纵向成才链条”。通过思想建设引导、校园生活引导、实践就业引导等，实现纵向支部研究生的全周期成长支持体系，切实发挥了党支部在育人中的引领作用。</w:t>
      </w:r>
      <w:bookmarkEnd w:id="1"/>
    </w:p>
    <w:p w14:paraId="4CDA6064">
      <w:pPr>
        <w:snapToGrid/>
        <w:spacing w:line="300" w:lineRule="auto"/>
        <w:ind w:firstLineChars="200"/>
        <w:rPr>
          <w:rFonts w:hint="eastAsia" w:ascii="方正仿宋_GBK" w:hAnsi="方正仿宋_GBK" w:eastAsia="方正仿宋_GBK" w:cs="方正仿宋_GBK"/>
          <w:i w:val="0"/>
          <w:strike w:val="0"/>
          <w:color w:val="000000"/>
          <w:sz w:val="24"/>
          <w:u w:val="none"/>
        </w:rPr>
      </w:pPr>
      <w:r>
        <w:rPr>
          <w:rFonts w:ascii="方正仿宋_GBK" w:hAnsi="方正仿宋_GBK" w:eastAsia="方正仿宋_GBK" w:cs="方正仿宋_GBK"/>
          <w:i w:val="0"/>
          <w:strike w:val="0"/>
          <w:color w:val="000000"/>
          <w:sz w:val="24"/>
          <w:u w:val="none"/>
        </w:rPr>
        <w:drawing>
          <wp:inline distT="0" distB="0" distL="0" distR="0">
            <wp:extent cx="5274310" cy="3443605"/>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5"/>
                    <a:stretch>
                      <a:fillRect/>
                    </a:stretch>
                  </pic:blipFill>
                  <pic:spPr>
                    <a:xfrm>
                      <a:off x="0" y="0"/>
                      <a:ext cx="5274310" cy="3444188"/>
                    </a:xfrm>
                    <a:prstGeom prst="rect">
                      <a:avLst/>
                    </a:prstGeom>
                  </pic:spPr>
                </pic:pic>
              </a:graphicData>
            </a:graphic>
          </wp:inline>
        </w:drawing>
      </w:r>
    </w:p>
    <w:p w14:paraId="5DC49B35">
      <w:pPr>
        <w:pBdr>
          <w:bottom w:val="none" w:color="auto" w:sz="0" w:space="0"/>
        </w:pBdr>
        <w:snapToGrid/>
        <w:spacing w:line="300" w:lineRule="auto"/>
        <w:ind w:firstLineChars="0"/>
        <w:jc w:val="center"/>
        <w:rPr>
          <w:rFonts w:ascii="方正仿宋_GBK" w:hAnsi="方正仿宋_GBK" w:eastAsia="方正仿宋_GBK" w:cs="方正仿宋_GBK"/>
          <w:i w:val="0"/>
          <w:strike w:val="0"/>
          <w:color w:val="000000"/>
          <w:sz w:val="18"/>
          <w:u w:val="none"/>
        </w:rPr>
      </w:pPr>
      <w:r>
        <w:rPr>
          <w:rFonts w:hint="eastAsia" w:ascii="方正仿宋_GBK" w:hAnsi="方正仿宋_GBK" w:eastAsia="方正仿宋_GBK" w:cs="方正仿宋_GBK"/>
          <w:i w:val="0"/>
          <w:strike w:val="0"/>
          <w:color w:val="000000"/>
          <w:sz w:val="18"/>
          <w:u w:val="none"/>
        </w:rPr>
        <w:t>图1 计算机系高性能所师生联动线下实践</w:t>
      </w:r>
    </w:p>
    <w:p w14:paraId="254A98B3">
      <w:pPr>
        <w:pBdr>
          <w:bottom w:val="none" w:color="auto" w:sz="0" w:space="0"/>
        </w:pBdr>
        <w:snapToGrid/>
        <w:spacing w:line="300" w:lineRule="auto"/>
        <w:ind w:firstLineChars="200"/>
        <w:rPr>
          <w:rFonts w:ascii="宋体" w:hAnsi="宋体" w:eastAsia="宋体" w:cs="宋体"/>
          <w:i w:val="0"/>
          <w:strike w:val="0"/>
          <w:color w:val="000000"/>
          <w:sz w:val="24"/>
          <w:u w:val="none"/>
        </w:rPr>
      </w:pPr>
      <w:r>
        <w:rPr>
          <w:rFonts w:hint="eastAsia" w:ascii="方正仿宋_GBK" w:hAnsi="方正仿宋_GBK" w:eastAsia="方正仿宋_GBK" w:cs="方正仿宋_GBK"/>
          <w:i w:val="0"/>
          <w:strike w:val="0"/>
          <w:color w:val="000000"/>
          <w:sz w:val="24"/>
          <w:u w:val="none"/>
        </w:rPr>
        <w:t xml:space="preserve"> </w:t>
      </w:r>
      <w:r>
        <w:rPr>
          <w:rFonts w:hint="eastAsia" w:ascii="宋体" w:hAnsi="宋体" w:eastAsia="宋体" w:cs="宋体"/>
          <w:i w:val="0"/>
          <w:strike w:val="0"/>
          <w:color w:val="000000"/>
          <w:sz w:val="24"/>
          <w:u w:val="none"/>
        </w:rPr>
        <w:t>计研二一支部</w:t>
      </w:r>
      <w:r>
        <w:rPr>
          <w:rFonts w:ascii="宋体" w:hAnsi="宋体" w:eastAsia="宋体" w:cs="宋体"/>
          <w:i w:val="0"/>
          <w:strike w:val="0"/>
          <w:color w:val="000000"/>
          <w:sz w:val="24"/>
          <w:u w:val="none"/>
        </w:rPr>
        <w:t>紧密联系教工支部</w:t>
      </w:r>
      <w:r>
        <w:rPr>
          <w:rFonts w:hint="eastAsia" w:ascii="宋体" w:hAnsi="宋体" w:eastAsia="宋体" w:cs="宋体"/>
          <w:i w:val="0"/>
          <w:strike w:val="0"/>
          <w:color w:val="000000"/>
          <w:sz w:val="24"/>
          <w:u w:val="none"/>
        </w:rPr>
        <w:t>进行学生</w:t>
      </w:r>
      <w:r>
        <w:rPr>
          <w:rFonts w:ascii="宋体" w:hAnsi="宋体" w:eastAsia="宋体" w:cs="宋体"/>
          <w:i w:val="0"/>
          <w:strike w:val="0"/>
          <w:color w:val="000000"/>
          <w:sz w:val="24"/>
          <w:u w:val="none"/>
        </w:rPr>
        <w:t>实践</w:t>
      </w:r>
      <w:r>
        <w:rPr>
          <w:rFonts w:hint="eastAsia" w:ascii="宋体" w:hAnsi="宋体" w:eastAsia="宋体" w:cs="宋体"/>
          <w:i w:val="0"/>
          <w:strike w:val="0"/>
          <w:color w:val="000000"/>
          <w:sz w:val="24"/>
          <w:u w:val="none"/>
        </w:rPr>
        <w:t>就业</w:t>
      </w:r>
      <w:r>
        <w:rPr>
          <w:rFonts w:ascii="宋体" w:hAnsi="宋体" w:eastAsia="宋体" w:cs="宋体"/>
          <w:i w:val="0"/>
          <w:strike w:val="0"/>
          <w:color w:val="000000"/>
          <w:sz w:val="24"/>
          <w:u w:val="none"/>
        </w:rPr>
        <w:t>引导，支部</w:t>
      </w:r>
      <w:bookmarkStart w:id="2" w:name="OLE_LINK84"/>
      <w:bookmarkEnd w:id="2"/>
      <w:bookmarkStart w:id="3" w:name="OLE_LINK85"/>
      <w:r>
        <w:rPr>
          <w:rFonts w:hint="eastAsia" w:ascii="宋体" w:hAnsi="宋体" w:eastAsia="宋体" w:cs="宋体"/>
          <w:i w:val="0"/>
          <w:strike w:val="0"/>
          <w:color w:val="000000"/>
          <w:sz w:val="24"/>
          <w:u w:val="none"/>
        </w:rPr>
        <w:t>形成了</w:t>
      </w:r>
      <w:r>
        <w:rPr>
          <w:rFonts w:ascii="宋体" w:hAnsi="宋体" w:eastAsia="宋体" w:cs="宋体"/>
          <w:i w:val="0"/>
          <w:strike w:val="0"/>
          <w:color w:val="000000"/>
          <w:sz w:val="24"/>
          <w:u w:val="none"/>
        </w:rPr>
        <w:t>完</w:t>
      </w:r>
      <w:bookmarkEnd w:id="3"/>
      <w:r>
        <w:rPr>
          <w:rFonts w:ascii="宋体" w:hAnsi="宋体" w:eastAsia="宋体" w:cs="宋体"/>
          <w:i w:val="0"/>
          <w:strike w:val="0"/>
          <w:color w:val="000000"/>
          <w:sz w:val="24"/>
          <w:u w:val="none"/>
        </w:rPr>
        <w:t>善的“党建+实践+就业”融合推进模式，依托高性能所的优质资源，组织策划了多场特色线下实践路线：</w:t>
      </w:r>
      <w:bookmarkStart w:id="4" w:name="OLE_LINK80"/>
      <w:bookmarkEnd w:id="4"/>
      <w:bookmarkStart w:id="5" w:name="OLE_LINK81"/>
      <w:r>
        <w:rPr>
          <w:rFonts w:ascii="宋体" w:hAnsi="宋体" w:eastAsia="宋体" w:cs="宋体"/>
          <w:b/>
          <w:i w:val="0"/>
          <w:strike w:val="0"/>
          <w:color w:val="000000"/>
          <w:sz w:val="24"/>
          <w:u w:val="none"/>
        </w:rPr>
        <w:t>①</w:t>
      </w:r>
      <w:bookmarkEnd w:id="5"/>
      <w:r>
        <w:rPr>
          <w:rFonts w:ascii="宋体" w:hAnsi="宋体" w:eastAsia="宋体" w:cs="宋体"/>
          <w:b/>
          <w:i w:val="0"/>
          <w:strike w:val="0"/>
          <w:color w:val="000000"/>
          <w:sz w:val="24"/>
          <w:u w:val="none"/>
        </w:rPr>
        <w:t>邀请郑纬民院士带队赴陕西西安开展实践</w:t>
      </w:r>
      <w:r>
        <w:rPr>
          <w:rFonts w:ascii="宋体" w:hAnsi="宋体" w:eastAsia="宋体" w:cs="宋体"/>
          <w:i w:val="0"/>
          <w:strike w:val="0"/>
          <w:color w:val="000000"/>
          <w:sz w:val="24"/>
          <w:u w:val="none"/>
        </w:rPr>
        <w:t>，并于当地超算中心进行座谈，深入探讨超算中心实际需求；</w:t>
      </w:r>
      <w:r>
        <w:rPr>
          <w:rFonts w:ascii="宋体" w:hAnsi="宋体" w:eastAsia="宋体" w:cs="宋体"/>
          <w:b/>
          <w:i w:val="0"/>
          <w:strike w:val="0"/>
          <w:color w:val="000000"/>
          <w:sz w:val="24"/>
          <w:u w:val="none"/>
        </w:rPr>
        <w:t>②赴北京应用物理与计算数学研究所参观“九所”党史馆</w:t>
      </w:r>
      <w:r>
        <w:rPr>
          <w:rFonts w:ascii="宋体" w:hAnsi="宋体" w:eastAsia="宋体" w:cs="宋体"/>
          <w:i w:val="0"/>
          <w:strike w:val="0"/>
          <w:color w:val="000000"/>
          <w:sz w:val="24"/>
          <w:u w:val="none"/>
        </w:rPr>
        <w:t>，感受“两弹一星”精神；</w:t>
      </w:r>
      <w:r>
        <w:rPr>
          <w:rFonts w:ascii="宋体" w:hAnsi="宋体" w:eastAsia="宋体" w:cs="宋体"/>
          <w:b/>
          <w:i w:val="0"/>
          <w:strike w:val="0"/>
          <w:color w:val="000000"/>
          <w:sz w:val="24"/>
          <w:u w:val="none"/>
        </w:rPr>
        <w:t>③赴国家超级计算天津、无锡、昆山中心参访</w:t>
      </w:r>
      <w:r>
        <w:rPr>
          <w:rFonts w:ascii="宋体" w:hAnsi="宋体" w:eastAsia="宋体" w:cs="宋体"/>
          <w:i w:val="0"/>
          <w:strike w:val="0"/>
          <w:color w:val="000000"/>
          <w:sz w:val="24"/>
          <w:u w:val="none"/>
        </w:rPr>
        <w:t>，了解算力基础设施背后的战略布局；</w:t>
      </w:r>
      <w:r>
        <w:rPr>
          <w:rFonts w:ascii="宋体" w:hAnsi="宋体" w:eastAsia="宋体" w:cs="宋体"/>
          <w:b/>
          <w:i w:val="0"/>
          <w:strike w:val="0"/>
          <w:color w:val="000000"/>
          <w:sz w:val="24"/>
          <w:u w:val="none"/>
        </w:rPr>
        <w:t>④走进启元国家重点实验室</w:t>
      </w:r>
      <w:r>
        <w:rPr>
          <w:rFonts w:ascii="宋体" w:hAnsi="宋体" w:eastAsia="宋体" w:cs="宋体"/>
          <w:i w:val="0"/>
          <w:strike w:val="0"/>
          <w:color w:val="000000"/>
          <w:sz w:val="24"/>
          <w:u w:val="none"/>
        </w:rPr>
        <w:t>，学习人才引进政策与新型科研单位建设模式；</w:t>
      </w:r>
      <w:r>
        <w:rPr>
          <w:rFonts w:ascii="宋体" w:hAnsi="宋体" w:eastAsia="宋体" w:cs="宋体"/>
          <w:b/>
          <w:i w:val="0"/>
          <w:strike w:val="0"/>
          <w:color w:val="000000"/>
          <w:sz w:val="24"/>
          <w:u w:val="none"/>
        </w:rPr>
        <w:t>⑤赴北京平谷区交流</w:t>
      </w:r>
      <w:r>
        <w:rPr>
          <w:rFonts w:ascii="宋体" w:hAnsi="宋体" w:eastAsia="宋体" w:cs="宋体"/>
          <w:i w:val="0"/>
          <w:strike w:val="0"/>
          <w:color w:val="000000"/>
          <w:sz w:val="24"/>
          <w:u w:val="none"/>
        </w:rPr>
        <w:t>，调研科技如何推动高水平物流体系建设；</w:t>
      </w:r>
      <w:bookmarkStart w:id="6" w:name="OLE_LINK86"/>
      <w:bookmarkEnd w:id="6"/>
      <w:bookmarkStart w:id="7" w:name="OLE_LINK87"/>
      <w:r>
        <w:rPr>
          <w:rFonts w:ascii="宋体" w:hAnsi="宋体" w:eastAsia="宋体" w:cs="宋体"/>
          <w:b/>
          <w:i w:val="0"/>
          <w:strike w:val="0"/>
          <w:color w:val="000000"/>
          <w:sz w:val="24"/>
          <w:u w:val="none"/>
        </w:rPr>
        <w:t>⑥赴青海大学实践交流（雁行）</w:t>
      </w:r>
      <w:r>
        <w:rPr>
          <w:rFonts w:ascii="宋体" w:hAnsi="宋体" w:eastAsia="宋体" w:cs="宋体"/>
          <w:i w:val="0"/>
          <w:strike w:val="0"/>
          <w:color w:val="000000"/>
          <w:sz w:val="24"/>
          <w:u w:val="none"/>
        </w:rPr>
        <w:t>，与青海大学计算机学院学生党支部联合共建并交换学科建设意见。</w:t>
      </w:r>
      <w:bookmarkEnd w:id="7"/>
      <w:r>
        <w:rPr>
          <w:rFonts w:ascii="宋体" w:hAnsi="宋体" w:eastAsia="宋体" w:cs="宋体"/>
          <w:i w:val="0"/>
          <w:strike w:val="0"/>
          <w:color w:val="000000"/>
          <w:sz w:val="24"/>
          <w:u w:val="none"/>
        </w:rPr>
        <w:t>通过这些实践能够正确引导同学们将理论知识与社会真实需要紧密结合，补全对各行各业的认知，进而</w:t>
      </w:r>
      <w:bookmarkStart w:id="8" w:name="OLE_LINK94"/>
      <w:bookmarkEnd w:id="8"/>
      <w:bookmarkStart w:id="9" w:name="OLE_LINK95"/>
      <w:r>
        <w:rPr>
          <w:rFonts w:ascii="宋体" w:hAnsi="宋体" w:eastAsia="宋体" w:cs="宋体"/>
          <w:i w:val="0"/>
          <w:strike w:val="0"/>
          <w:color w:val="000000"/>
          <w:sz w:val="24"/>
          <w:u w:val="none"/>
        </w:rPr>
        <w:t>引导同学们走向更加合</w:t>
      </w:r>
      <w:bookmarkEnd w:id="9"/>
      <w:r>
        <w:rPr>
          <w:rFonts w:ascii="宋体" w:hAnsi="宋体" w:eastAsia="宋体" w:cs="宋体"/>
          <w:i w:val="0"/>
          <w:strike w:val="0"/>
          <w:color w:val="000000"/>
          <w:sz w:val="24"/>
          <w:u w:val="none"/>
        </w:rPr>
        <w:t>适、更有用武之地的工作岗位。</w:t>
      </w:r>
    </w:p>
    <w:p w14:paraId="2167B274">
      <w:pPr>
        <w:snapToGrid/>
        <w:spacing w:before="0" w:after="0" w:line="240" w:lineRule="auto"/>
        <w:ind w:left="0" w:right="0" w:firstLine="420" w:firstLineChars="0"/>
        <w:jc w:val="both"/>
        <w:rPr>
          <w:rFonts w:hint="eastAsia"/>
          <w:kern w:val="0"/>
          <w:sz w:val="24"/>
          <w:szCs w:val="20"/>
        </w:rPr>
      </w:pPr>
      <w:bookmarkStart w:id="10" w:name="OLE_LINK113"/>
      <w:bookmarkEnd w:id="10"/>
      <w:r>
        <w:rPr>
          <w:rFonts w:hint="eastAsia"/>
          <w:kern w:val="0"/>
          <w:sz w:val="24"/>
          <w:szCs w:val="20"/>
        </w:rPr>
        <w:t>在思想引导上，支部同样紧密联合高性能所教工支部展开党建工作，先后邀请郑纬民院士为支部同学讲解现代高性能计算发展现状以未来走向；邀请计算机系副主任武永卫老师为大家解读二十届三中全会内容；邀请计算机系高性能所教工党支部书记陆游游老师为大家展开以全面贯彻中央八项规定学习的主题党课；近期，还专门开展了以解决高性能所“小事难题”为主题的师生专题讨论，旨在搭建师生沟通桥梁，更高效地解决潜在在高性能所学生群体内的问题，推动高性能所轻装上阵地向前进步。高性能所师生共 46 人参与了本次会议，会上反应的多项问题也于一周之内完成了整改。</w:t>
      </w:r>
    </w:p>
    <w:p w14:paraId="4A5001BB">
      <w:pPr>
        <w:pBdr>
          <w:bottom w:val="none" w:color="auto" w:sz="0" w:space="0"/>
        </w:pBdr>
        <w:snapToGrid/>
        <w:spacing w:line="300" w:lineRule="auto"/>
        <w:ind w:firstLineChars="200"/>
        <w:rPr>
          <w:rFonts w:ascii="宋体" w:hAnsi="宋体" w:eastAsia="宋体" w:cs="宋体"/>
          <w:b w:val="0"/>
          <w:i w:val="0"/>
          <w:strike w:val="0"/>
          <w:color w:val="000000"/>
          <w:sz w:val="24"/>
          <w:u w:val="none"/>
        </w:rPr>
      </w:pPr>
      <w:r>
        <w:rPr>
          <w:rFonts w:ascii="宋体" w:hAnsi="宋体" w:eastAsia="宋体" w:cs="宋体"/>
          <w:i w:val="0"/>
          <w:strike w:val="0"/>
          <w:color w:val="000000"/>
          <w:sz w:val="24"/>
          <w:u w:val="none"/>
        </w:rPr>
        <w:t>计研二一党支部依托纵向班级架构，探索形成了以“分层分类、</w:t>
      </w:r>
      <w:bookmarkStart w:id="11" w:name="OLE_LINK115"/>
      <w:bookmarkEnd w:id="11"/>
      <w:bookmarkStart w:id="12" w:name="OLE_LINK116"/>
      <w:r>
        <w:rPr>
          <w:rFonts w:ascii="宋体" w:hAnsi="宋体" w:eastAsia="宋体" w:cs="宋体"/>
          <w:i w:val="0"/>
          <w:strike w:val="0"/>
          <w:color w:val="000000"/>
          <w:sz w:val="24"/>
          <w:u w:val="none"/>
        </w:rPr>
        <w:t>全程覆盖、协同育人</w:t>
      </w:r>
      <w:bookmarkEnd w:id="12"/>
      <w:r>
        <w:rPr>
          <w:rFonts w:ascii="宋体" w:hAnsi="宋体" w:eastAsia="宋体" w:cs="宋体"/>
          <w:i w:val="0"/>
          <w:strike w:val="0"/>
          <w:color w:val="000000"/>
          <w:sz w:val="24"/>
          <w:u w:val="none"/>
        </w:rPr>
        <w:t>”为核心的纵向治理模式。支部坚持从实际出发，聚焦不同年级学生的阶段性需求，构建起涵盖思想引导、学业科研、就业实践、心理支持等方面的全周期培养体系。通过强化教工联动、丰富组织生活、拓展外部资源，支部实现了组织力、引领力和服务力的有机统一。</w:t>
      </w:r>
      <w:r>
        <w:rPr>
          <w:rFonts w:hint="eastAsia" w:ascii="宋体" w:hAnsi="宋体" w:eastAsia="宋体" w:cs="宋体"/>
          <w:i w:val="0"/>
          <w:strike w:val="0"/>
          <w:color w:val="000000"/>
          <w:sz w:val="24"/>
          <w:u w:val="none"/>
        </w:rPr>
        <w:t xml:space="preserve">在紧密师生联动下，计研二一支部不仅是学生活动平台，更成为了师生高效交流平台。 </w:t>
      </w:r>
      <w:r>
        <w:rPr>
          <w:rFonts w:hint="eastAsia" w:ascii="宋体" w:hAnsi="宋体" w:eastAsia="宋体" w:cs="宋体"/>
          <w:b w:val="0"/>
          <w:i w:val="0"/>
          <w:strike w:val="0"/>
          <w:color w:val="000000"/>
          <w:sz w:val="24"/>
          <w:u w:val="none"/>
        </w:rPr>
        <w:t>在 2025 年秋季学期，高性能所教工支部与计研二一学生支部</w:t>
      </w:r>
      <w:r>
        <w:rPr>
          <w:rFonts w:hint="eastAsia" w:ascii="宋体" w:hAnsi="宋体" w:eastAsia="宋体" w:cs="宋体"/>
          <w:b/>
          <w:i w:val="0"/>
          <w:strike w:val="0"/>
          <w:color w:val="000000"/>
          <w:sz w:val="24"/>
          <w:u w:val="none"/>
        </w:rPr>
        <w:t>双双获得2024-2025 年度 清华大学先进基层党组织</w:t>
      </w:r>
      <w:r>
        <w:rPr>
          <w:rFonts w:hint="eastAsia" w:ascii="宋体" w:hAnsi="宋体" w:eastAsia="宋体" w:cs="宋体"/>
          <w:b w:val="0"/>
          <w:i w:val="0"/>
          <w:strike w:val="0"/>
          <w:color w:val="000000"/>
          <w:sz w:val="24"/>
          <w:u w:val="none"/>
        </w:rPr>
        <w:t>称号。</w:t>
      </w:r>
    </w:p>
    <w:p w14:paraId="59E1DE58">
      <w:pPr>
        <w:spacing w:line="300" w:lineRule="auto"/>
        <w:rPr>
          <w:rFonts w:hint="default" w:eastAsia="宋体"/>
          <w:b/>
          <w:kern w:val="0"/>
          <w:sz w:val="28"/>
          <w:szCs w:val="28"/>
          <w:lang w:val="en-US" w:eastAsia="zh-CN"/>
        </w:rPr>
      </w:pPr>
      <w:r>
        <w:rPr>
          <w:rFonts w:hint="eastAsia"/>
          <w:b/>
          <w:kern w:val="0"/>
          <w:sz w:val="28"/>
          <w:szCs w:val="28"/>
          <w:lang w:val="en-US" w:eastAsia="zh-CN"/>
        </w:rPr>
        <w:t>三</w:t>
      </w:r>
      <w:r>
        <w:rPr>
          <w:b/>
          <w:kern w:val="0"/>
          <w:sz w:val="28"/>
          <w:szCs w:val="28"/>
        </w:rPr>
        <w:t>、</w:t>
      </w:r>
      <w:r>
        <w:rPr>
          <w:rFonts w:hint="eastAsia"/>
          <w:b/>
          <w:kern w:val="0"/>
          <w:sz w:val="28"/>
          <w:szCs w:val="28"/>
          <w:lang w:val="en-US" w:eastAsia="zh-CN"/>
        </w:rPr>
        <w:t>发挥所学所长，推进志愿劳动教育品牌化建设@安文浩</w:t>
      </w:r>
    </w:p>
    <w:p w14:paraId="5447AA8E">
      <w:pPr>
        <w:spacing w:line="300" w:lineRule="auto"/>
        <w:rPr>
          <w:rFonts w:hint="eastAsia"/>
          <w:b/>
          <w:kern w:val="0"/>
          <w:sz w:val="28"/>
          <w:szCs w:val="28"/>
          <w:lang w:val="en-US" w:eastAsia="zh-CN"/>
        </w:rPr>
      </w:pPr>
      <w:r>
        <w:rPr>
          <w:rFonts w:hint="eastAsia"/>
          <w:b/>
          <w:kern w:val="0"/>
          <w:sz w:val="28"/>
          <w:szCs w:val="28"/>
          <w:lang w:val="en-US" w:eastAsia="zh-CN"/>
        </w:rPr>
        <w:t>3</w:t>
      </w:r>
      <w:r>
        <w:rPr>
          <w:b/>
          <w:kern w:val="0"/>
          <w:sz w:val="28"/>
          <w:szCs w:val="28"/>
        </w:rPr>
        <w:t xml:space="preserve">.1 </w:t>
      </w:r>
      <w:r>
        <w:rPr>
          <w:rFonts w:hint="eastAsia"/>
          <w:b/>
          <w:kern w:val="0"/>
          <w:sz w:val="28"/>
          <w:szCs w:val="28"/>
          <w:lang w:val="en-US" w:eastAsia="zh-CN"/>
        </w:rPr>
        <w:t>发挥“传帮带”集体文化，推动思想引领长效化纵深实施</w:t>
      </w:r>
    </w:p>
    <w:p w14:paraId="4468D552">
      <w:pPr>
        <w:snapToGrid/>
        <w:spacing w:line="300" w:lineRule="auto"/>
        <w:ind w:firstLineChars="200"/>
        <w:rPr>
          <w:rFonts w:ascii="宋体" w:hAnsi="宋体" w:eastAsia="宋体" w:cs="宋体"/>
          <w:i w:val="0"/>
          <w:strike w:val="0"/>
          <w:color w:val="000000"/>
          <w:sz w:val="24"/>
          <w:u w:val="none"/>
        </w:rPr>
      </w:pPr>
      <w:r>
        <w:rPr>
          <w:rFonts w:ascii="宋体" w:hAnsi="宋体" w:eastAsia="宋体" w:cs="宋体"/>
          <w:i w:val="0"/>
          <w:strike w:val="0"/>
          <w:color w:val="000000"/>
          <w:sz w:val="24"/>
          <w:u w:val="none"/>
        </w:rPr>
        <w:t>习近平总书记在党的二十大报告中明确指出，"全面贯彻党的教育方针，落实立德树人根本任务"。高校作为培养时代新人的重要基地，必须构建系统性、持续性的思想引领工作体系。新时代研究生群体作为科技创新的重要力量，其思想政治素养直接关系到民族复兴大业。</w:t>
      </w:r>
      <w:r>
        <w:rPr>
          <w:rFonts w:ascii="宋体" w:hAnsi="宋体" w:eastAsia="宋体" w:cs="宋体"/>
          <w:b/>
          <w:i w:val="0"/>
          <w:strike w:val="0"/>
          <w:color w:val="000000"/>
          <w:sz w:val="24"/>
          <w:u w:val="none"/>
        </w:rPr>
        <w:t>多年级纵向党支部建设</w:t>
      </w:r>
      <w:r>
        <w:rPr>
          <w:rFonts w:ascii="宋体" w:hAnsi="宋体" w:eastAsia="宋体" w:cs="宋体"/>
          <w:i w:val="0"/>
          <w:strike w:val="0"/>
          <w:color w:val="000000"/>
          <w:sz w:val="24"/>
          <w:u w:val="none"/>
        </w:rPr>
        <w:t>中，"传帮带"集体文化成为推动思想引领工作的重要抓手。通过构建老党员带新党员、高年级带低年级、科研骨干带学术新手的立体化传承体系，形成思想政治教育的内生动力，实现"一代人影响一代人"的育人目标。</w:t>
      </w:r>
    </w:p>
    <w:p w14:paraId="204986D1">
      <w:pPr>
        <w:snapToGrid/>
        <w:spacing w:before="0" w:after="0" w:line="240" w:lineRule="auto"/>
        <w:ind w:left="0" w:right="0" w:firstLine="420" w:firstLineChars="0"/>
        <w:jc w:val="both"/>
        <w:rPr>
          <w:rFonts w:hint="eastAsia"/>
          <w:kern w:val="0"/>
          <w:sz w:val="24"/>
          <w:szCs w:val="20"/>
        </w:rPr>
      </w:pPr>
      <w:r>
        <w:rPr>
          <w:rFonts w:hint="eastAsia"/>
          <w:kern w:val="0"/>
          <w:sz w:val="24"/>
          <w:szCs w:val="20"/>
        </w:rPr>
        <w:t>传承机制上，构建涵盖理论武装、实践历练、精神熏陶的多维传承体系。在理论传承中强化党的创新理论学习，实现老党员与新党员的思想对话与理论共鸣；在实践传承中依托各类平台载体，推动经验分享与能力传递；在文化传承中弘扬党的光荣传统，让红色基因在师生互动中赓续传承。引领效果上，"传帮带"文化推动思想政治教育从传统模式向创新模式转变，从短期效应向长效机制转变。通过建立系统性的成长培养体系，实现全员覆盖、全程跟踪、全方位引领，培养了一支政治过硬、本领高强的学生党员骨干队伍，形成思想政治教育工作的内生循环和自我完善。"传帮带"集体文化是新时代高校党建工作的创新实践和有效载体。通过持续深化文化内涵建设，营造浓厚的思想引领氛围，为党和国家事业发展培养更多德才兼备的优秀人才。</w:t>
      </w:r>
    </w:p>
    <w:p w14:paraId="4DCFB15C">
      <w:pPr>
        <w:spacing w:line="300" w:lineRule="auto"/>
        <w:rPr>
          <w:rFonts w:hint="eastAsia"/>
          <w:b/>
          <w:kern w:val="0"/>
          <w:sz w:val="28"/>
          <w:szCs w:val="28"/>
          <w:lang w:val="en-US" w:eastAsia="zh-CN"/>
        </w:rPr>
      </w:pPr>
      <w:r>
        <w:rPr>
          <w:rFonts w:hint="eastAsia"/>
          <w:b/>
          <w:kern w:val="0"/>
          <w:sz w:val="28"/>
          <w:szCs w:val="28"/>
          <w:lang w:val="en-US" w:eastAsia="zh-CN"/>
        </w:rPr>
        <w:t>3</w:t>
      </w:r>
      <w:r>
        <w:rPr>
          <w:b/>
          <w:kern w:val="0"/>
          <w:sz w:val="28"/>
          <w:szCs w:val="28"/>
        </w:rPr>
        <w:t>.</w:t>
      </w:r>
      <w:r>
        <w:rPr>
          <w:rFonts w:hint="eastAsia"/>
          <w:b/>
          <w:kern w:val="0"/>
          <w:sz w:val="28"/>
          <w:szCs w:val="28"/>
          <w:lang w:val="en-US" w:eastAsia="zh-CN"/>
        </w:rPr>
        <w:t>2</w:t>
      </w:r>
      <w:r>
        <w:rPr>
          <w:b/>
          <w:kern w:val="0"/>
          <w:sz w:val="28"/>
          <w:szCs w:val="28"/>
        </w:rPr>
        <w:t xml:space="preserve"> </w:t>
      </w:r>
      <w:r>
        <w:rPr>
          <w:rFonts w:hint="eastAsia"/>
          <w:b/>
          <w:kern w:val="0"/>
          <w:sz w:val="28"/>
          <w:szCs w:val="28"/>
          <w:lang w:val="en-US" w:eastAsia="zh-CN"/>
        </w:rPr>
        <w:t>工作案例：媒体所计研三三党支部</w:t>
      </w:r>
    </w:p>
    <w:p w14:paraId="607CB703">
      <w:pPr>
        <w:snapToGrid/>
        <w:spacing w:before="0" w:after="0" w:line="240" w:lineRule="auto"/>
        <w:ind w:left="0" w:right="0" w:firstLine="420" w:firstLineChars="0"/>
        <w:jc w:val="both"/>
        <w:rPr>
          <w:rFonts w:hint="eastAsia"/>
          <w:kern w:val="0"/>
          <w:sz w:val="24"/>
          <w:szCs w:val="20"/>
        </w:rPr>
      </w:pPr>
      <w:r>
        <w:rPr>
          <w:rFonts w:hint="eastAsia"/>
          <w:kern w:val="0"/>
          <w:sz w:val="24"/>
          <w:szCs w:val="20"/>
        </w:rPr>
        <w:t>2024年11月，计算机系与新闻学院联合开展“科技助老”志愿行动。在计算机系党委副书记赵颖指导下，离退休党支部周立柱、苏凤娥以及新闻学院张亚楠等教师协同参与，面向老同志的实际需求，聚焦网络安全与数字工具应用，探索以“传帮带”为核心的师生共同体建设路径，推动思想引领与实践育人的有机统一。</w:t>
      </w:r>
    </w:p>
    <w:p w14:paraId="49FF9CA8">
      <w:pPr>
        <w:snapToGrid/>
        <w:spacing w:before="0" w:after="0" w:line="240" w:lineRule="auto"/>
        <w:ind w:left="0" w:right="0" w:firstLine="420" w:firstLineChars="0"/>
        <w:jc w:val="both"/>
        <w:rPr>
          <w:rFonts w:hint="eastAsia"/>
          <w:kern w:val="0"/>
          <w:sz w:val="24"/>
          <w:szCs w:val="20"/>
        </w:rPr>
      </w:pPr>
      <w:r>
        <w:rPr>
          <w:rFonts w:hint="eastAsia"/>
          <w:kern w:val="0"/>
          <w:sz w:val="24"/>
          <w:szCs w:val="20"/>
        </w:rPr>
        <w:t>本次行动坚持党建引领与问题导向相结合，围绕“学得会、用得上、记得住”的目标，形成“三位一体”的服务框架：一是开展AI时代反诈科普，厘清“换脸”“拟声”等新型诈骗风险点，强调多因子核验与口令验证等可操作性策略；二是开展常用线上会议工具教学，梳理统一身份认证、会议创建与屏幕共享等关键流程；三是建立结对帮扶与持续答疑机制，打通“课堂讲解—个性化辅导—教材迭代”的闭环，不断优化面向老同志的图文手册与操作卡片。</w:t>
      </w:r>
    </w:p>
    <w:p w14:paraId="7C4378D0">
      <w:pPr>
        <w:snapToGrid/>
        <w:spacing w:before="0" w:after="0" w:line="240" w:lineRule="auto"/>
        <w:ind w:left="0" w:right="0" w:firstLine="420" w:firstLineChars="0"/>
        <w:jc w:val="both"/>
        <w:rPr>
          <w:rFonts w:hint="eastAsia"/>
          <w:kern w:val="0"/>
          <w:sz w:val="24"/>
          <w:szCs w:val="20"/>
        </w:rPr>
      </w:pPr>
      <w:r>
        <w:rPr>
          <w:rFonts w:hint="eastAsia"/>
          <w:kern w:val="0"/>
          <w:sz w:val="24"/>
          <w:szCs w:val="20"/>
        </w:rPr>
        <w:t>行动成效体现在三个层面：其一，搭建起“教师引领—研究生骨干—志愿服务队”纵向协同链条，初步形成“以老带新、以新助老”的互助文化；其二，构建跨院系资源共享与协同服务机制，推动志愿服务常态化、品牌化；其三，在数字素养提升与网络安全意识培育上取得实效，获得赵颖副书记“建立长效机制”的肯定与指导。</w:t>
      </w:r>
    </w:p>
    <w:p w14:paraId="7C91AB01">
      <w:pPr>
        <w:snapToGrid/>
        <w:spacing w:before="0" w:after="0" w:line="240" w:lineRule="auto"/>
        <w:ind w:left="0" w:right="0" w:firstLine="420" w:firstLineChars="0"/>
        <w:jc w:val="both"/>
        <w:rPr>
          <w:rFonts w:hint="eastAsia"/>
          <w:kern w:val="0"/>
          <w:sz w:val="24"/>
          <w:szCs w:val="20"/>
        </w:rPr>
      </w:pPr>
      <w:r>
        <w:rPr>
          <w:rFonts w:hint="eastAsia"/>
          <w:kern w:val="0"/>
          <w:sz w:val="24"/>
          <w:szCs w:val="20"/>
        </w:rPr>
        <w:t>面向后续，团队将把“传帮带”固化为可复制、可推广的工作模式：以教师为牵引、以研究生为骨干、以志愿队为触角，持续完善反诈与数字工具教学内容，定期更新图文手册与微课资源；以需求清单和回访机制为抓手，把思想政治引领融入数字赋能全过程，推动志愿服务由“集中活动”向“常态深耕”转变，形成可持续的纵深实施体系。</w:t>
      </w:r>
    </w:p>
    <w:p w14:paraId="469DCBE1">
      <w:pPr>
        <w:snapToGrid/>
        <w:spacing w:line="300" w:lineRule="auto"/>
        <w:ind w:firstLineChars="200"/>
      </w:pPr>
      <w:r>
        <w:drawing>
          <wp:inline distT="0" distB="0" distL="0" distR="0">
            <wp:extent cx="2451735" cy="146113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6"/>
                    <a:stretch>
                      <a:fillRect/>
                    </a:stretch>
                  </pic:blipFill>
                  <pic:spPr>
                    <a:xfrm>
                      <a:off x="0" y="0"/>
                      <a:ext cx="2452274" cy="1461257"/>
                    </a:xfrm>
                    <a:prstGeom prst="rect">
                      <a:avLst/>
                    </a:prstGeom>
                  </pic:spPr>
                </pic:pic>
              </a:graphicData>
            </a:graphic>
          </wp:inline>
        </w:drawing>
      </w:r>
      <w:r>
        <w:rPr>
          <w:rFonts w:hint="eastAsia"/>
        </w:rPr>
        <w:t xml:space="preserve"> </w:t>
      </w:r>
      <w:r>
        <w:drawing>
          <wp:inline distT="0" distB="0" distL="0" distR="0">
            <wp:extent cx="2192655" cy="1461770"/>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7"/>
                    <a:srcRect/>
                    <a:stretch>
                      <a:fillRect/>
                    </a:stretch>
                  </pic:blipFill>
                  <pic:spPr>
                    <a:xfrm>
                      <a:off x="0" y="0"/>
                      <a:ext cx="2192973" cy="1461982"/>
                    </a:xfrm>
                    <a:prstGeom prst="rect">
                      <a:avLst/>
                    </a:prstGeom>
                  </pic:spPr>
                </pic:pic>
              </a:graphicData>
            </a:graphic>
          </wp:inline>
        </w:drawing>
      </w:r>
    </w:p>
    <w:p w14:paraId="55614AEA">
      <w:pPr>
        <w:pBdr>
          <w:bottom w:val="none" w:color="auto" w:sz="0" w:space="0"/>
        </w:pBdr>
        <w:snapToGrid/>
        <w:spacing w:line="300" w:lineRule="auto"/>
        <w:ind w:firstLineChars="0"/>
        <w:jc w:val="center"/>
        <w:rPr>
          <w:rFonts w:hint="eastAsia" w:ascii="方正仿宋_GBK" w:hAnsi="方正仿宋_GBK" w:eastAsia="方正仿宋_GBK" w:cs="方正仿宋_GBK"/>
          <w:i w:val="0"/>
          <w:strike w:val="0"/>
          <w:color w:val="000000"/>
          <w:sz w:val="18"/>
          <w:u w:val="none"/>
        </w:rPr>
      </w:pPr>
      <w:r>
        <w:rPr>
          <w:rFonts w:hint="eastAsia" w:ascii="方正仿宋_GBK" w:hAnsi="方正仿宋_GBK" w:eastAsia="方正仿宋_GBK" w:cs="方正仿宋_GBK"/>
          <w:i w:val="0"/>
          <w:strike w:val="0"/>
          <w:color w:val="000000"/>
          <w:sz w:val="18"/>
          <w:u w:val="none"/>
        </w:rPr>
        <w:t>图2 计算机系媒体所师生联合党建活动现场</w:t>
      </w:r>
    </w:p>
    <w:p w14:paraId="22E11C8B">
      <w:pPr>
        <w:spacing w:line="300" w:lineRule="auto"/>
        <w:rPr>
          <w:rFonts w:hint="default" w:eastAsia="宋体"/>
          <w:b/>
          <w:kern w:val="0"/>
          <w:sz w:val="28"/>
          <w:szCs w:val="28"/>
          <w:lang w:val="en-US" w:eastAsia="zh-CN"/>
        </w:rPr>
      </w:pPr>
      <w:r>
        <w:rPr>
          <w:rFonts w:hint="eastAsia"/>
          <w:b/>
          <w:kern w:val="0"/>
          <w:sz w:val="28"/>
          <w:szCs w:val="28"/>
          <w:lang w:val="en-US" w:eastAsia="zh-CN"/>
        </w:rPr>
        <w:t>四</w:t>
      </w:r>
      <w:r>
        <w:rPr>
          <w:b/>
          <w:kern w:val="0"/>
          <w:sz w:val="28"/>
          <w:szCs w:val="28"/>
        </w:rPr>
        <w:t>、</w:t>
      </w:r>
      <w:r>
        <w:rPr>
          <w:rFonts w:hint="eastAsia"/>
          <w:b/>
          <w:kern w:val="0"/>
          <w:sz w:val="28"/>
          <w:szCs w:val="28"/>
          <w:lang w:val="en-US" w:eastAsia="zh-CN"/>
        </w:rPr>
        <w:t>立足国家战略，构建校地合作与就业引导双轮驱动机制@林士伟</w:t>
      </w:r>
    </w:p>
    <w:p w14:paraId="022FAD39">
      <w:pPr>
        <w:spacing w:line="300" w:lineRule="auto"/>
        <w:rPr>
          <w:rFonts w:hint="default"/>
          <w:b/>
          <w:kern w:val="0"/>
          <w:sz w:val="28"/>
          <w:szCs w:val="28"/>
          <w:lang w:val="en-US"/>
        </w:rPr>
      </w:pPr>
      <w:r>
        <w:rPr>
          <w:rFonts w:hint="eastAsia"/>
          <w:b/>
          <w:kern w:val="0"/>
          <w:sz w:val="28"/>
          <w:szCs w:val="28"/>
          <w:lang w:val="en-US" w:eastAsia="zh-CN"/>
        </w:rPr>
        <w:t>4</w:t>
      </w:r>
      <w:r>
        <w:rPr>
          <w:b/>
          <w:kern w:val="0"/>
          <w:sz w:val="28"/>
          <w:szCs w:val="28"/>
        </w:rPr>
        <w:t xml:space="preserve">.1 </w:t>
      </w:r>
      <w:r>
        <w:rPr>
          <w:rFonts w:hint="eastAsia"/>
          <w:b/>
          <w:kern w:val="0"/>
          <w:sz w:val="28"/>
          <w:szCs w:val="28"/>
          <w:lang w:val="en-US" w:eastAsia="zh-CN"/>
        </w:rPr>
        <w:t>打造“家国计”实践品牌，筑牢就业引导关键枢纽</w:t>
      </w:r>
    </w:p>
    <w:p w14:paraId="017BE614">
      <w:pPr>
        <w:spacing w:line="300" w:lineRule="auto"/>
        <w:ind w:firstLine="480" w:firstLineChars="200"/>
        <w:rPr>
          <w:rFonts w:hint="eastAsia"/>
          <w:kern w:val="0"/>
          <w:sz w:val="24"/>
          <w:szCs w:val="20"/>
          <w:lang w:val="en-US" w:eastAsia="zh-CN"/>
        </w:rPr>
      </w:pPr>
      <w:r>
        <w:rPr>
          <w:rFonts w:hint="eastAsia"/>
          <w:kern w:val="0"/>
          <w:sz w:val="24"/>
          <w:szCs w:val="20"/>
          <w:lang w:val="en-US" w:eastAsia="zh-CN"/>
        </w:rPr>
        <w:t>重庆雁行，西部，高校，公共部门，军队。</w:t>
      </w:r>
    </w:p>
    <w:p w14:paraId="52666F1E">
      <w:pPr>
        <w:pBdr>
          <w:bottom w:val="none" w:color="auto" w:sz="0" w:space="0"/>
        </w:pBdr>
        <w:snapToGrid/>
        <w:spacing w:before="0" w:after="0" w:line="240" w:lineRule="auto"/>
        <w:ind w:left="0" w:right="0" w:firstLine="40"/>
        <w:jc w:val="both"/>
        <w:rPr>
          <w:rFonts w:hint="eastAsia" w:ascii="宋体" w:hAnsi="宋体" w:eastAsia="宋体" w:cs="宋体"/>
          <w:kern w:val="0"/>
          <w:sz w:val="24"/>
          <w:szCs w:val="20"/>
        </w:rPr>
      </w:pPr>
      <w:r>
        <w:rPr>
          <w:rFonts w:hint="eastAsia" w:ascii="宋体" w:hAnsi="宋体" w:eastAsia="宋体" w:cs="宋体"/>
          <w:kern w:val="0"/>
          <w:sz w:val="24"/>
          <w:szCs w:val="20"/>
        </w:rPr>
        <w:t>党的二十大报告指出，“高质量发展是全面建设社会主义现代化国家的首要任务”，并把教育、科技、人才作为现代化建设的基础性、战略性支撑，强调坚持为党育人、为国育才，推动科教兴国、人才强国与创新驱动协同发力。我们将研究生培养与就业引导置于国家战略布局中一体谋划，突出“校地合作与就业引导双轮联动”的工作格局：以“教育—科技—人才”一体推进为牵引，贯通创新链、产业链、人才链，把岗位能力标准、区域人才政策与行业真实场景前移到育人现场；遵循产教融合、协同育人的制度路径，通过校地企共同体将用人需求、项目课题与培养环节同频对接；结合国家重大战略与重点区域产业布局反向校准学科方向与能力结构，依托科研训练与社会实践锻造问题导向与工程化能力，推动人才供给与产业需求高效耦合、精准匹配。</w:t>
      </w:r>
    </w:p>
    <w:p w14:paraId="24175298">
      <w:pPr>
        <w:spacing w:line="300" w:lineRule="auto"/>
        <w:ind w:firstLine="480" w:firstLineChars="200"/>
        <w:rPr>
          <w:rFonts w:hint="eastAsia" w:ascii="宋体" w:hAnsi="宋体" w:eastAsia="宋体" w:cs="宋体"/>
          <w:kern w:val="0"/>
          <w:sz w:val="24"/>
          <w:szCs w:val="20"/>
          <w:lang w:val="en-US" w:eastAsia="zh-CN"/>
        </w:rPr>
      </w:pPr>
      <w:r>
        <w:rPr>
          <w:rFonts w:hint="eastAsia" w:ascii="宋体" w:hAnsi="宋体" w:eastAsia="宋体" w:cs="宋体"/>
          <w:kern w:val="0"/>
          <w:sz w:val="24"/>
          <w:szCs w:val="20"/>
          <w:lang w:val="en-US" w:eastAsia="zh-CN"/>
        </w:rPr>
        <w:t>纵向班跨专业跨年级组班，是一个稳定的学习与实践共同体，具有协同与“传帮带”强、资源共享与信息流转快的特点。依托这一优势，我们引导研究生“行走百业看山河巨变 奋楫扬帆谋发展新篇”，透过专业看行业、立足行业铸伟业，深入各行各业，从百业变革中感知中国发展脉搏；以理论学习、专题调研、社会实践等形式打造“家国计”实践活动，贯穿“立大志、入主流、上大舞台、干大事业”的职业发展理念。坚持产学研一体、校地企协同发力，把学术研究与应用场景紧密结合，面向国家和社会需求选择方向、锤炼本领；</w:t>
      </w:r>
      <w:r>
        <w:rPr>
          <w:i w:val="0"/>
          <w:strike w:val="0"/>
          <w:color w:val="000000"/>
          <w:sz w:val="24"/>
          <w:u w:val="none"/>
        </w:rPr>
        <w:t>与高校、地方党政机关开展联合党建、联学联建，形成资源共享、优势互补、协同育人的长效机制</w:t>
      </w:r>
      <w:r>
        <w:rPr>
          <w:rFonts w:hint="eastAsia"/>
          <w:i w:val="0"/>
          <w:strike w:val="0"/>
          <w:color w:val="000000"/>
          <w:sz w:val="24"/>
          <w:u w:val="none"/>
        </w:rPr>
        <w:t>；</w:t>
      </w:r>
      <w:r>
        <w:rPr>
          <w:rFonts w:hint="eastAsia" w:ascii="宋体" w:hAnsi="宋体" w:eastAsia="宋体" w:cs="宋体"/>
          <w:kern w:val="0"/>
          <w:sz w:val="24"/>
          <w:szCs w:val="20"/>
          <w:lang w:val="en-US" w:eastAsia="zh-CN"/>
        </w:rPr>
        <w:t>把纵向班的组织力转化为长期的人才供给能力和稳固的就业通道，形成从学习到实践、从实践到就业的闭环，为社会主义现代化强国建设贡献可靠的人才与方案支撑。</w:t>
      </w:r>
    </w:p>
    <w:p w14:paraId="3F6F65B1">
      <w:pPr>
        <w:spacing w:line="300" w:lineRule="auto"/>
        <w:rPr>
          <w:rFonts w:hint="default" w:eastAsia="宋体"/>
          <w:b/>
          <w:kern w:val="0"/>
          <w:sz w:val="28"/>
          <w:szCs w:val="28"/>
          <w:lang w:val="en-US" w:eastAsia="zh-CN"/>
        </w:rPr>
      </w:pPr>
      <w:r>
        <w:rPr>
          <w:rFonts w:hint="eastAsia"/>
          <w:b/>
          <w:kern w:val="0"/>
          <w:sz w:val="28"/>
          <w:szCs w:val="28"/>
          <w:lang w:val="en-US" w:eastAsia="zh-CN"/>
        </w:rPr>
        <w:t>4</w:t>
      </w:r>
      <w:r>
        <w:rPr>
          <w:b/>
          <w:kern w:val="0"/>
          <w:sz w:val="28"/>
          <w:szCs w:val="28"/>
        </w:rPr>
        <w:t>.</w:t>
      </w:r>
      <w:r>
        <w:rPr>
          <w:rFonts w:hint="eastAsia"/>
          <w:b/>
          <w:kern w:val="0"/>
          <w:sz w:val="28"/>
          <w:szCs w:val="28"/>
          <w:lang w:val="en-US" w:eastAsia="zh-CN"/>
        </w:rPr>
        <w:t>2</w:t>
      </w:r>
      <w:r>
        <w:rPr>
          <w:b/>
          <w:kern w:val="0"/>
          <w:sz w:val="28"/>
          <w:szCs w:val="28"/>
        </w:rPr>
        <w:t xml:space="preserve"> </w:t>
      </w:r>
      <w:r>
        <w:rPr>
          <w:rFonts w:hint="eastAsia"/>
          <w:b/>
          <w:kern w:val="0"/>
          <w:sz w:val="28"/>
          <w:szCs w:val="28"/>
          <w:lang w:val="en-US" w:eastAsia="zh-CN"/>
        </w:rPr>
        <w:t>工作案例：人智所计研四四党支部</w:t>
      </w:r>
    </w:p>
    <w:p w14:paraId="05B539EB">
      <w:pPr>
        <w:spacing w:line="300" w:lineRule="auto"/>
        <w:ind w:firstLineChars="200"/>
        <w:rPr>
          <w:rFonts w:ascii="宋体" w:hAnsi="宋体" w:eastAsia="宋体" w:cs="宋体"/>
          <w:i w:val="0"/>
          <w:strike w:val="0"/>
          <w:color w:val="000000"/>
          <w:sz w:val="24"/>
          <w:u w:val="none"/>
        </w:rPr>
      </w:pPr>
      <w:r>
        <w:rPr>
          <w:rFonts w:ascii="宋体" w:hAnsi="宋体" w:eastAsia="宋体" w:cs="宋体"/>
          <w:i w:val="0"/>
          <w:strike w:val="0"/>
          <w:color w:val="000000"/>
          <w:sz w:val="24"/>
          <w:u w:val="none"/>
        </w:rPr>
        <w:t>为深入学习贯彻习近平新时代中国特色社会主义思想和党的二十大精神，迎接新中国成立</w:t>
      </w:r>
      <w:r>
        <w:rPr>
          <w:rFonts w:ascii="Times New Roman" w:hAnsi="Times New Roman" w:cs="Times New Roman"/>
          <w:i w:val="0"/>
          <w:strike w:val="0"/>
          <w:color w:val="000000"/>
          <w:sz w:val="24"/>
          <w:u w:val="none"/>
        </w:rPr>
        <w:t>75</w:t>
      </w:r>
      <w:r>
        <w:rPr>
          <w:rFonts w:ascii="宋体" w:hAnsi="宋体" w:eastAsia="宋体" w:cs="宋体"/>
          <w:i w:val="0"/>
          <w:strike w:val="0"/>
          <w:color w:val="000000"/>
          <w:sz w:val="24"/>
          <w:u w:val="none"/>
        </w:rPr>
        <w:t>周年，充分发挥研究生党支部的战斗堡垒作用，促进党团班集体协同发展，引导研究生从各行各业的变革感悟伟大成就，凝聚奋进力量，</w:t>
      </w:r>
      <w:r>
        <w:rPr>
          <w:rFonts w:hint="eastAsia" w:ascii="宋体" w:hAnsi="宋体" w:eastAsia="宋体" w:cs="宋体"/>
          <w:i w:val="0"/>
          <w:strike w:val="0"/>
          <w:color w:val="000000"/>
          <w:sz w:val="24"/>
          <w:u w:val="none"/>
        </w:rPr>
        <w:t>计研四四党支部</w:t>
      </w:r>
      <w:r>
        <w:rPr>
          <w:rFonts w:ascii="宋体" w:hAnsi="宋体" w:eastAsia="宋体" w:cs="宋体"/>
          <w:i w:val="0"/>
          <w:strike w:val="0"/>
          <w:color w:val="000000"/>
          <w:sz w:val="24"/>
          <w:u w:val="none"/>
        </w:rPr>
        <w:t>以</w:t>
      </w:r>
      <w:r>
        <w:rPr>
          <w:rFonts w:ascii="Times New Roman" w:hAnsi="Times New Roman" w:cs="Times New Roman"/>
          <w:i w:val="0"/>
          <w:strike w:val="0"/>
          <w:color w:val="000000"/>
          <w:sz w:val="24"/>
          <w:u w:val="none"/>
        </w:rPr>
        <w:t>“</w:t>
      </w:r>
      <w:r>
        <w:rPr>
          <w:rFonts w:ascii="宋体" w:hAnsi="宋体" w:eastAsia="宋体" w:cs="宋体"/>
          <w:i w:val="0"/>
          <w:strike w:val="0"/>
          <w:color w:val="000000"/>
          <w:sz w:val="24"/>
          <w:u w:val="none"/>
        </w:rPr>
        <w:t>行走百业看山河巨变</w:t>
      </w:r>
      <w:r>
        <w:rPr>
          <w:rFonts w:ascii="Times New Roman" w:hAnsi="Times New Roman" w:cs="Times New Roman"/>
          <w:i w:val="0"/>
          <w:strike w:val="0"/>
          <w:color w:val="000000"/>
          <w:sz w:val="24"/>
          <w:u w:val="none"/>
        </w:rPr>
        <w:t xml:space="preserve"> </w:t>
      </w:r>
      <w:r>
        <w:rPr>
          <w:rFonts w:ascii="宋体" w:hAnsi="宋体" w:eastAsia="宋体" w:cs="宋体"/>
          <w:i w:val="0"/>
          <w:strike w:val="0"/>
          <w:color w:val="000000"/>
          <w:sz w:val="24"/>
          <w:u w:val="none"/>
        </w:rPr>
        <w:t>奋楫扬帆谋发展新篇</w:t>
      </w:r>
      <w:r>
        <w:rPr>
          <w:rFonts w:ascii="Times New Roman" w:hAnsi="Times New Roman" w:cs="Times New Roman"/>
          <w:i w:val="0"/>
          <w:strike w:val="0"/>
          <w:color w:val="000000"/>
          <w:sz w:val="24"/>
          <w:u w:val="none"/>
        </w:rPr>
        <w:t>”</w:t>
      </w:r>
      <w:r>
        <w:rPr>
          <w:rFonts w:ascii="宋体" w:hAnsi="宋体" w:eastAsia="宋体" w:cs="宋体"/>
          <w:i w:val="0"/>
          <w:strike w:val="0"/>
          <w:color w:val="000000"/>
          <w:sz w:val="24"/>
          <w:u w:val="none"/>
        </w:rPr>
        <w:t>为主题，开展</w:t>
      </w:r>
      <w:r>
        <w:rPr>
          <w:rFonts w:hint="eastAsia" w:ascii="宋体" w:hAnsi="宋体" w:eastAsia="宋体" w:cs="宋体"/>
          <w:i w:val="0"/>
          <w:strike w:val="0"/>
          <w:color w:val="000000"/>
          <w:sz w:val="24"/>
          <w:u w:val="none"/>
        </w:rPr>
        <w:t>了针对重庆市汽车产业转型融合和新质生产力探索的“雁行”研究生党支部特色活动</w:t>
      </w:r>
      <w:r>
        <w:rPr>
          <w:rFonts w:ascii="宋体" w:hAnsi="宋体" w:eastAsia="宋体" w:cs="宋体"/>
          <w:i w:val="0"/>
          <w:strike w:val="0"/>
          <w:color w:val="000000"/>
          <w:sz w:val="24"/>
          <w:u w:val="none"/>
        </w:rPr>
        <w:t>。“家国计”赴重庆实践支队于5月10日~5月12日赴重庆走访了重庆大学、西南大学、红岩博物馆、长安汽车制造工厂、长安汽车全球研发中心、重庆中科汽车软件创新中心、西部科学城智能网联汽车创新中心等多家单位，通过宣讲、采访、座谈、主题教育等方式开展了一些列高质量实践活动。</w:t>
      </w:r>
    </w:p>
    <w:p w14:paraId="043C2135">
      <w:pPr>
        <w:spacing w:line="300" w:lineRule="auto"/>
        <w:ind w:firstLineChars="200"/>
        <w:jc w:val="left"/>
        <w:rPr>
          <w:rFonts w:ascii="宋体" w:hAnsi="宋体" w:eastAsia="宋体" w:cs="宋体"/>
          <w:i w:val="0"/>
          <w:strike w:val="0"/>
          <w:color w:val="000000"/>
          <w:sz w:val="24"/>
          <w:u w:val="none"/>
        </w:rPr>
      </w:pPr>
      <w:r>
        <w:drawing>
          <wp:inline distT="0" distB="0" distL="0" distR="0">
            <wp:extent cx="2153285" cy="1616075"/>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8"/>
                    <a:srcRect/>
                    <a:stretch>
                      <a:fillRect/>
                    </a:stretch>
                  </pic:blipFill>
                  <pic:spPr>
                    <a:xfrm>
                      <a:off x="0" y="0"/>
                      <a:ext cx="2153546" cy="1616426"/>
                    </a:xfrm>
                    <a:prstGeom prst="rect">
                      <a:avLst/>
                    </a:prstGeom>
                  </pic:spPr>
                </pic:pic>
              </a:graphicData>
            </a:graphic>
          </wp:inline>
        </w:drawing>
      </w:r>
      <w:r>
        <w:rPr>
          <w:rFonts w:ascii="宋体" w:hAnsi="宋体" w:eastAsia="宋体" w:cs="宋体"/>
          <w:i w:val="0"/>
          <w:strike w:val="0"/>
          <w:color w:val="000000"/>
          <w:sz w:val="24"/>
          <w:u w:val="none"/>
        </w:rPr>
        <w:drawing>
          <wp:inline distT="0" distB="0" distL="0" distR="0">
            <wp:extent cx="2713990" cy="1666875"/>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9"/>
                    <a:stretch>
                      <a:fillRect/>
                    </a:stretch>
                  </pic:blipFill>
                  <pic:spPr>
                    <a:xfrm>
                      <a:off x="0" y="0"/>
                      <a:ext cx="2714094" cy="1666875"/>
                    </a:xfrm>
                    <a:prstGeom prst="rect">
                      <a:avLst/>
                    </a:prstGeom>
                  </pic:spPr>
                </pic:pic>
              </a:graphicData>
            </a:graphic>
          </wp:inline>
        </w:drawing>
      </w:r>
    </w:p>
    <w:p w14:paraId="5BECABAC">
      <w:pPr>
        <w:spacing w:line="300" w:lineRule="auto"/>
        <w:ind w:firstLineChars="200"/>
        <w:jc w:val="center"/>
        <w:rPr>
          <w:rFonts w:ascii="宋体" w:hAnsi="宋体" w:eastAsia="宋体" w:cs="宋体"/>
          <w:i w:val="0"/>
          <w:strike w:val="0"/>
          <w:color w:val="000000"/>
          <w:sz w:val="24"/>
          <w:u w:val="none"/>
        </w:rPr>
      </w:pPr>
      <w:r>
        <w:rPr>
          <w:rFonts w:ascii="宋体" w:hAnsi="宋体" w:eastAsia="宋体" w:cs="宋体"/>
          <w:i w:val="0"/>
          <w:strike w:val="0"/>
          <w:color w:val="000000"/>
          <w:sz w:val="24"/>
          <w:u w:val="none"/>
        </w:rPr>
        <w:t>图 清华实践支队参访重庆中科汽车软件创新展厅</w:t>
      </w:r>
    </w:p>
    <w:p w14:paraId="558E177E">
      <w:pPr>
        <w:pBdr>
          <w:bottom w:val="none" w:color="auto" w:sz="0" w:space="0"/>
        </w:pBdr>
        <w:spacing w:line="300" w:lineRule="auto"/>
        <w:ind w:firstLineChars="200"/>
        <w:jc w:val="center"/>
        <w:rPr>
          <w:rFonts w:ascii="宋体" w:hAnsi="宋体" w:eastAsia="宋体" w:cs="宋体"/>
          <w:i w:val="0"/>
          <w:strike w:val="0"/>
          <w:color w:val="000000"/>
          <w:sz w:val="24"/>
          <w:u w:val="none"/>
        </w:rPr>
      </w:pPr>
    </w:p>
    <w:p w14:paraId="103C087C">
      <w:pPr>
        <w:spacing w:line="300" w:lineRule="auto"/>
        <w:ind w:firstLineChars="200"/>
        <w:rPr>
          <w:kern w:val="0"/>
          <w:sz w:val="24"/>
          <w:szCs w:val="20"/>
        </w:rPr>
      </w:pPr>
      <w:r>
        <w:rPr>
          <w:kern w:val="0"/>
          <w:sz w:val="24"/>
          <w:szCs w:val="20"/>
        </w:rPr>
        <w:t>在重庆市汽车产业的转型升级之路上，我们见证了一场深刻的产业变革。重庆中科汽车软件创新中心、西部科学城智能网联汽车创新中心和长安汽车全球研发中心等机构，成为了推动这一变革的关键力量。他们不仅在技术研发和创新上取得了显著成就，而且在人才培养、平台建设和产业链协同等方面发挥了重要作用。面对挑战，如技术研发投入不足、人才短缺、资金不足和技术集成难题，这些机构通过加大研发投入、引进高素质人才、产学研合作和政策支持等对策，成功提升了汽车产业的核心竞争力。西部科学城智能网联汽车创新中心通过产学研合作，成功输出了多项关键技术和知识产权，成为推动智能网联汽车技术发展的前沿阵地。长安汽车全球研发中心则汇聚了全球顶尖的研发人才，为智能网联和新能源汽车产业的发展提供了全方位支持。</w:t>
      </w:r>
    </w:p>
    <w:p w14:paraId="68887752">
      <w:pPr>
        <w:spacing w:line="300" w:lineRule="auto"/>
        <w:ind w:firstLineChars="200"/>
        <w:rPr>
          <w:kern w:val="0"/>
          <w:sz w:val="24"/>
          <w:szCs w:val="20"/>
        </w:rPr>
      </w:pPr>
      <w:r>
        <w:drawing>
          <wp:inline distT="0" distB="0" distL="0" distR="0">
            <wp:extent cx="2480945" cy="1369060"/>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10"/>
                    <a:srcRect/>
                    <a:stretch>
                      <a:fillRect/>
                    </a:stretch>
                  </pic:blipFill>
                  <pic:spPr>
                    <a:xfrm>
                      <a:off x="0" y="0"/>
                      <a:ext cx="2481280" cy="1369505"/>
                    </a:xfrm>
                    <a:prstGeom prst="rect">
                      <a:avLst/>
                    </a:prstGeom>
                  </pic:spPr>
                </pic:pic>
              </a:graphicData>
            </a:graphic>
          </wp:inline>
        </w:drawing>
      </w:r>
      <w:r>
        <w:drawing>
          <wp:inline distT="0" distB="0" distL="0" distR="0">
            <wp:extent cx="2178685" cy="1403985"/>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11"/>
                    <a:srcRect/>
                    <a:stretch>
                      <a:fillRect/>
                    </a:stretch>
                  </pic:blipFill>
                  <pic:spPr>
                    <a:xfrm>
                      <a:off x="0" y="0"/>
                      <a:ext cx="2179124" cy="1404554"/>
                    </a:xfrm>
                    <a:prstGeom prst="rect">
                      <a:avLst/>
                    </a:prstGeom>
                  </pic:spPr>
                </pic:pic>
              </a:graphicData>
            </a:graphic>
          </wp:inline>
        </w:drawing>
      </w:r>
    </w:p>
    <w:p w14:paraId="2D6F0066">
      <w:pPr>
        <w:spacing w:line="300" w:lineRule="auto"/>
        <w:ind w:firstLineChars="200"/>
        <w:jc w:val="center"/>
        <w:rPr>
          <w:kern w:val="0"/>
          <w:sz w:val="24"/>
          <w:szCs w:val="20"/>
        </w:rPr>
      </w:pPr>
      <w:r>
        <w:rPr>
          <w:kern w:val="0"/>
          <w:sz w:val="24"/>
          <w:szCs w:val="20"/>
        </w:rPr>
        <w:t>图 清华实践支队参访重庆西部科学城智能网联汽车创新中心</w:t>
      </w:r>
    </w:p>
    <w:p w14:paraId="6D6E532A">
      <w:pPr>
        <w:spacing w:line="300" w:lineRule="auto"/>
        <w:ind w:firstLineChars="200"/>
        <w:rPr>
          <w:kern w:val="0"/>
          <w:sz w:val="24"/>
          <w:szCs w:val="20"/>
        </w:rPr>
      </w:pPr>
      <w:r>
        <w:rPr>
          <w:kern w:val="0"/>
          <w:sz w:val="24"/>
          <w:szCs w:val="20"/>
        </w:rPr>
        <w:t>通过此次</w:t>
      </w:r>
      <w:r>
        <w:rPr>
          <w:rFonts w:hint="eastAsia"/>
          <w:kern w:val="0"/>
          <w:sz w:val="24"/>
          <w:szCs w:val="20"/>
        </w:rPr>
        <w:t>实践活动</w:t>
      </w:r>
      <w:r>
        <w:rPr>
          <w:kern w:val="0"/>
          <w:sz w:val="24"/>
          <w:szCs w:val="20"/>
        </w:rPr>
        <w:t>，我们不仅深入理解了重庆汽车产业的转型与新质生产力的现状，还认识到各方合作的重要性。产学研结合、政策引导和市场反馈相互促进，形成了良性的产业生态。通过此次重庆市汽车产业转型与新质生产力的调研，我们不仅清晰地认识到技术创新、人才引进和政策支持在推动产业升级中的重要性，还深刻体会到产学研结合所带来的多方协同效应。这些活动的成果不仅为企业的持续发展奠定了基础，更为国家的科技进步和经济高质量发展提供了强有力的支持。从党的发展和国家战略的角度来看，这些经验启示我们，创新驱动是实现中华民族伟大复兴的核心动力，只有通过不断的技术革新和产业优化，才能在国际竞争中立于不败之地。同时，政府、企业和学术机构之间的密切合作，将进一步促进资源的高效配置，为实现可持续发展创造良好的条件。作为清华学子，我们应当树立起时代责任感与担当意识，主动参与国家重大战略的实施，致力于科技创新与社会服务。我们要发挥自己的专业优势，将学术研究与实际应用紧密结合，关注国家和社会的需求，积极为经济发展和社会进步贡献智慧与力量。通过不断学习和实践，我们要在推动国家科技进步和经济高质量发展的过程中，展现出清华学子的使命与担当，成为建设社会主义现代化强国的重要力量。</w:t>
      </w:r>
    </w:p>
    <w:p w14:paraId="71891D20">
      <w:pPr>
        <w:spacing w:line="300" w:lineRule="auto"/>
        <w:ind w:firstLineChars="200"/>
        <w:rPr>
          <w:rFonts w:hint="eastAsia"/>
          <w:kern w:val="0"/>
          <w:sz w:val="24"/>
          <w:szCs w:val="20"/>
        </w:rPr>
      </w:pPr>
      <w:r>
        <w:drawing>
          <wp:inline distT="0" distB="0" distL="0" distR="0">
            <wp:extent cx="2007235" cy="1411605"/>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2"/>
                    <a:srcRect/>
                    <a:stretch>
                      <a:fillRect/>
                    </a:stretch>
                  </pic:blipFill>
                  <pic:spPr>
                    <a:xfrm>
                      <a:off x="0" y="0"/>
                      <a:ext cx="2007691" cy="1412003"/>
                    </a:xfrm>
                    <a:prstGeom prst="rect">
                      <a:avLst/>
                    </a:prstGeom>
                  </pic:spPr>
                </pic:pic>
              </a:graphicData>
            </a:graphic>
          </wp:inline>
        </w:drawing>
      </w:r>
      <w:r>
        <w:drawing>
          <wp:inline distT="0" distB="0" distL="0" distR="0">
            <wp:extent cx="2488565" cy="1409700"/>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6" name="picture" descr="descript"/>
                    <pic:cNvPicPr/>
                  </pic:nvPicPr>
                  <pic:blipFill>
                    <a:blip r:embed="rId13"/>
                    <a:srcRect/>
                    <a:stretch>
                      <a:fillRect/>
                    </a:stretch>
                  </pic:blipFill>
                  <pic:spPr>
                    <a:xfrm>
                      <a:off x="0" y="0"/>
                      <a:ext cx="2489002" cy="1409700"/>
                    </a:xfrm>
                    <a:prstGeom prst="rect">
                      <a:avLst/>
                    </a:prstGeom>
                  </pic:spPr>
                </pic:pic>
              </a:graphicData>
            </a:graphic>
          </wp:inline>
        </w:drawing>
      </w:r>
      <w:r>
        <w:rPr>
          <w:kern w:val="0"/>
          <w:sz w:val="24"/>
          <w:szCs w:val="20"/>
        </w:rPr>
        <w:br w:type="textWrapping"/>
      </w:r>
      <w:r>
        <w:rPr>
          <w:rFonts w:hint="eastAsia"/>
          <w:kern w:val="0"/>
          <w:sz w:val="24"/>
          <w:szCs w:val="20"/>
        </w:rPr>
        <w:t>图 清华实践支队与高新区党群工作部、西部智联等进行座谈交流</w:t>
      </w:r>
    </w:p>
    <w:p w14:paraId="66572E87">
      <w:pPr>
        <w:spacing w:line="300" w:lineRule="auto"/>
        <w:ind w:firstLineChars="200"/>
        <w:rPr>
          <w:rFonts w:hint="eastAsia"/>
          <w:kern w:val="0"/>
          <w:sz w:val="24"/>
          <w:szCs w:val="20"/>
        </w:rPr>
      </w:pPr>
      <w:r>
        <w:drawing>
          <wp:inline distT="0" distB="0" distL="0" distR="0">
            <wp:extent cx="2181860" cy="1636395"/>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14"/>
                    <a:srcRect/>
                    <a:stretch>
                      <a:fillRect/>
                    </a:stretch>
                  </pic:blipFill>
                  <pic:spPr>
                    <a:xfrm>
                      <a:off x="0" y="0"/>
                      <a:ext cx="2181860" cy="1636395"/>
                    </a:xfrm>
                    <a:prstGeom prst="rect">
                      <a:avLst/>
                    </a:prstGeom>
                  </pic:spPr>
                </pic:pic>
              </a:graphicData>
            </a:graphic>
          </wp:inline>
        </w:drawing>
      </w:r>
      <w:r>
        <w:drawing>
          <wp:inline distT="0" distB="0" distL="0" distR="0">
            <wp:extent cx="2199005" cy="1647190"/>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2" name="picture" descr="descript"/>
                    <pic:cNvPicPr/>
                  </pic:nvPicPr>
                  <pic:blipFill>
                    <a:blip r:embed="rId15"/>
                    <a:srcRect r="49940"/>
                    <a:stretch>
                      <a:fillRect/>
                    </a:stretch>
                  </pic:blipFill>
                  <pic:spPr>
                    <a:xfrm>
                      <a:off x="0" y="0"/>
                      <a:ext cx="2199480" cy="1647627"/>
                    </a:xfrm>
                    <a:prstGeom prst="rect">
                      <a:avLst/>
                    </a:prstGeom>
                  </pic:spPr>
                </pic:pic>
              </a:graphicData>
            </a:graphic>
          </wp:inline>
        </w:drawing>
      </w:r>
    </w:p>
    <w:p w14:paraId="68699C6C">
      <w:pPr>
        <w:pBdr>
          <w:bottom w:val="none" w:color="auto" w:sz="0" w:space="0"/>
        </w:pBdr>
        <w:spacing w:line="300" w:lineRule="auto"/>
        <w:ind w:firstLineChars="200"/>
        <w:rPr>
          <w:rFonts w:hint="eastAsia"/>
          <w:kern w:val="0"/>
          <w:sz w:val="24"/>
          <w:szCs w:val="20"/>
        </w:rPr>
      </w:pPr>
      <w:r>
        <w:rPr>
          <w:rFonts w:hint="eastAsia"/>
          <w:kern w:val="0"/>
          <w:sz w:val="24"/>
          <w:szCs w:val="20"/>
        </w:rPr>
        <w:t>图 清华支队与重庆大学、西南大学联学共建主题党日活动</w:t>
      </w:r>
    </w:p>
    <w:p w14:paraId="7247F057">
      <w:pPr>
        <w:pBdr>
          <w:bottom w:val="none" w:color="auto" w:sz="0" w:space="0"/>
        </w:pBdr>
        <w:spacing w:line="300" w:lineRule="auto"/>
        <w:ind w:firstLineChars="200"/>
        <w:rPr>
          <w:kern w:val="0"/>
          <w:sz w:val="24"/>
          <w:szCs w:val="20"/>
        </w:rPr>
      </w:pPr>
      <w:r>
        <w:rPr>
          <w:kern w:val="0"/>
          <w:sz w:val="24"/>
          <w:szCs w:val="20"/>
        </w:rPr>
        <w:t>此次活动不仅增进了我们对汽车产业的理解，同时也开展了高校座谈、红色景点参访、专题党团日活动等活动，深入探讨了发展新质生产力和推进高质量发展的科学内涵与重大意义，创新了活动形式，密切了党群联系，强化了思想引领，学习巩固拓展了主题教育成果，以高质量党建带动了集体建设。</w:t>
      </w:r>
      <w:r>
        <w:rPr>
          <w:rFonts w:ascii="宋体" w:hAnsi="宋体" w:eastAsia="宋体" w:cs="宋体"/>
          <w:i w:val="0"/>
          <w:strike w:val="0"/>
          <w:color w:val="000000"/>
          <w:sz w:val="24"/>
          <w:u w:val="none"/>
        </w:rPr>
        <w:t>实践事迹在新浪财经、清华研工小站等重点媒体发表稿件10余篇；制作的AR明星片能带领同学们穿越至红岩革命纪念馆，一睹革命烈士的英勇事迹，沉浸式学习《条例》党纪教育文件，线下覆盖约1000余人。实践成果受到重庆高新区党群工作部、中科汽车软件创新中心等单位的高度评价。实践成果荣获清华大学“2024年‘雁行’研究生党支部特色活动优秀成果”</w:t>
      </w:r>
      <w:r>
        <w:rPr>
          <w:rFonts w:hint="eastAsia" w:ascii="宋体" w:hAnsi="宋体" w:eastAsia="宋体" w:cs="宋体"/>
          <w:i w:val="0"/>
          <w:strike w:val="0"/>
          <w:color w:val="000000"/>
          <w:sz w:val="24"/>
          <w:u w:val="none"/>
        </w:rPr>
        <w:t>。</w:t>
      </w:r>
    </w:p>
    <w:p w14:paraId="412A1EA9">
      <w:pPr>
        <w:rPr>
          <w:kern w:val="0"/>
          <w:sz w:val="24"/>
          <w:szCs w:val="20"/>
        </w:rPr>
      </w:pPr>
    </w:p>
    <w:p w14:paraId="4B00C512">
      <w:pPr>
        <w:spacing w:line="300" w:lineRule="auto"/>
        <w:rPr>
          <w:rFonts w:hint="default" w:eastAsia="宋体"/>
          <w:b/>
          <w:kern w:val="0"/>
          <w:sz w:val="28"/>
          <w:szCs w:val="28"/>
          <w:lang w:val="en-US" w:eastAsia="zh-CN"/>
        </w:rPr>
      </w:pPr>
      <w:r>
        <w:rPr>
          <w:rFonts w:hint="eastAsia"/>
          <w:b/>
          <w:kern w:val="0"/>
          <w:sz w:val="28"/>
          <w:szCs w:val="28"/>
          <w:lang w:val="en-US" w:eastAsia="zh-CN"/>
        </w:rPr>
        <w:t>五</w:t>
      </w:r>
      <w:r>
        <w:rPr>
          <w:b/>
          <w:kern w:val="0"/>
          <w:sz w:val="28"/>
          <w:szCs w:val="28"/>
        </w:rPr>
        <w:t>、</w:t>
      </w:r>
      <w:r>
        <w:rPr>
          <w:rFonts w:hint="eastAsia"/>
          <w:b/>
          <w:kern w:val="0"/>
          <w:sz w:val="28"/>
          <w:szCs w:val="28"/>
          <w:lang w:val="en-US" w:eastAsia="zh-CN"/>
        </w:rPr>
        <w:t>实施纵向分层施策，确保集体育人实现全覆盖@杜晋华</w:t>
      </w:r>
    </w:p>
    <w:p w14:paraId="55741DBA">
      <w:pPr>
        <w:spacing w:line="300" w:lineRule="auto"/>
        <w:rPr>
          <w:rFonts w:hint="default"/>
          <w:b/>
          <w:kern w:val="0"/>
          <w:sz w:val="28"/>
          <w:szCs w:val="28"/>
          <w:lang w:val="en-US"/>
        </w:rPr>
      </w:pPr>
      <w:r>
        <w:rPr>
          <w:rFonts w:hint="eastAsia"/>
          <w:b/>
          <w:kern w:val="0"/>
          <w:sz w:val="28"/>
          <w:szCs w:val="28"/>
          <w:lang w:val="en-US" w:eastAsia="zh-CN"/>
        </w:rPr>
        <w:t>5</w:t>
      </w:r>
      <w:r>
        <w:rPr>
          <w:b/>
          <w:kern w:val="0"/>
          <w:sz w:val="28"/>
          <w:szCs w:val="28"/>
        </w:rPr>
        <w:t xml:space="preserve">.1 </w:t>
      </w:r>
      <w:r>
        <w:rPr>
          <w:rFonts w:hint="eastAsia"/>
          <w:b/>
          <w:kern w:val="0"/>
          <w:sz w:val="28"/>
          <w:szCs w:val="28"/>
          <w:lang w:val="en-US" w:eastAsia="zh-CN"/>
        </w:rPr>
        <w:t>平衡“差异化”新老需求，系统构建集体骨干培养机制</w:t>
      </w:r>
    </w:p>
    <w:p w14:paraId="3D4B8254">
      <w:pPr>
        <w:snapToGrid/>
        <w:spacing w:before="0" w:after="0" w:line="240" w:lineRule="auto"/>
        <w:ind w:left="0" w:right="0" w:firstLine="420" w:firstLineChars="0"/>
        <w:jc w:val="both"/>
        <w:rPr>
          <w:rFonts w:hint="eastAsia"/>
          <w:kern w:val="0"/>
          <w:sz w:val="24"/>
          <w:szCs w:val="20"/>
        </w:rPr>
      </w:pPr>
      <w:r>
        <w:rPr>
          <w:rFonts w:hint="eastAsia"/>
          <w:kern w:val="0"/>
          <w:sz w:val="24"/>
          <w:szCs w:val="20"/>
        </w:rPr>
        <w:t>2024年9月9日，习近平总书记于全国教育大会发表重要讲话，着重强调：“建设教育强国是一项复杂的系统工程，需要我们紧紧围绕立德树人这个根本任务，着眼于培养德智体美劳全面发展的社会主义建设者和接班人。” 促进德育、智育、体育、美育和劳动教育的有机融合，已然成为新时代党的教育工作面临的新任务、新要求，更是建设教育强国的重要举措。</w:t>
      </w:r>
    </w:p>
    <w:p w14:paraId="3505B5D5">
      <w:pPr>
        <w:snapToGrid/>
        <w:spacing w:before="0" w:after="0" w:line="240" w:lineRule="auto"/>
        <w:ind w:left="0" w:right="0" w:firstLine="420" w:firstLineChars="0"/>
        <w:jc w:val="both"/>
        <w:rPr>
          <w:rFonts w:hint="eastAsia"/>
          <w:kern w:val="0"/>
          <w:sz w:val="24"/>
          <w:szCs w:val="20"/>
        </w:rPr>
      </w:pPr>
      <w:r>
        <w:rPr>
          <w:rFonts w:hint="eastAsia"/>
          <w:kern w:val="0"/>
          <w:sz w:val="24"/>
          <w:szCs w:val="20"/>
        </w:rPr>
        <w:t>计算机系所施行的纵向班级制度，促使各支部呈现出多元化的年级结构。这一创新模式不仅有力推动了科研人才梯队式培养体系的构建，为针对新生与高年级同学的差异化需求实施分类施策创造了有利条件，也对工作统筹与资源配置提出了更高要求。</w:t>
      </w:r>
    </w:p>
    <w:p w14:paraId="1A99841C">
      <w:pPr>
        <w:snapToGrid/>
        <w:spacing w:before="0" w:after="0" w:line="240" w:lineRule="auto"/>
        <w:ind w:left="0" w:right="0" w:firstLine="420" w:firstLineChars="0"/>
        <w:jc w:val="both"/>
        <w:rPr>
          <w:rFonts w:hint="eastAsia"/>
          <w:kern w:val="0"/>
          <w:sz w:val="24"/>
          <w:szCs w:val="20"/>
        </w:rPr>
      </w:pPr>
      <w:r>
        <w:rPr>
          <w:rFonts w:hint="eastAsia"/>
          <w:kern w:val="0"/>
          <w:sz w:val="24"/>
          <w:szCs w:val="20"/>
        </w:rPr>
        <w:t>在长期的育人实践中，计算机系以学生为中心，精心搭建起一套全面且系统的集体先进培养体系，涵盖骨干培养制度、计研领航计划以及集体推优举措等多个重要方面。</w:t>
      </w:r>
    </w:p>
    <w:p w14:paraId="4EBCC049">
      <w:pPr>
        <w:snapToGrid/>
        <w:spacing w:before="0" w:after="0" w:line="240" w:lineRule="auto"/>
        <w:ind w:left="0" w:right="0" w:firstLine="420" w:firstLineChars="0"/>
        <w:jc w:val="both"/>
        <w:rPr>
          <w:rFonts w:hint="eastAsia"/>
          <w:kern w:val="0"/>
          <w:sz w:val="24"/>
          <w:szCs w:val="20"/>
        </w:rPr>
      </w:pPr>
      <w:r>
        <w:rPr>
          <w:rFonts w:hint="eastAsia"/>
          <w:kern w:val="0"/>
          <w:sz w:val="24"/>
          <w:szCs w:val="20"/>
        </w:rPr>
        <w:t>在骨干培养方面，计算机系始终秉持着让每一位同学都能积极、平等地投身于集体建设的理念，全力培育集体凝聚力与归属感。面向党员同学，设立党支部书记、组织委员、宣传委员、青年委员等关键岗位；面向团员同学，设置团支部书记；面向全体同学，设立带班助理、带班副助理、文体委员等。与此同时，借助校设系设学生会、团委等学生组织团体，为同学们提供多元的服务岗位，促使同学们深刻领会 “为人民服务” 的根本宗旨，彰显新时代青年的使命担当。</w:t>
      </w:r>
    </w:p>
    <w:p w14:paraId="4C074E91">
      <w:pPr>
        <w:snapToGrid/>
        <w:spacing w:before="0" w:after="0" w:line="240" w:lineRule="auto"/>
        <w:ind w:left="0" w:right="0" w:firstLine="420" w:firstLineChars="0"/>
        <w:jc w:val="both"/>
        <w:rPr>
          <w:rFonts w:hint="eastAsia"/>
          <w:kern w:val="0"/>
          <w:sz w:val="24"/>
          <w:szCs w:val="20"/>
        </w:rPr>
      </w:pPr>
      <w:r>
        <w:rPr>
          <w:rFonts w:hint="eastAsia"/>
          <w:kern w:val="0"/>
          <w:sz w:val="24"/>
          <w:szCs w:val="20"/>
        </w:rPr>
        <w:t>在五育并举方面，计算机系设立计研领航计划。充分整合计算机系的学术、校友、就业等丰富资源，为同学们搭建起走出校园、融入社会的广阔活动平台。通过就业实践、志愿劳动、文体活动、走访红色基地等形式，依据不同年龄层级学生的特征和需求，精准提供相应的资源、支持与指导，致力于实现 “一支部一策，一学生一策”，开展有侧重、有针对性的定向育人工作。</w:t>
      </w:r>
    </w:p>
    <w:p w14:paraId="679BF3DF">
      <w:pPr>
        <w:snapToGrid/>
        <w:spacing w:before="0" w:after="0" w:line="240" w:lineRule="auto"/>
        <w:ind w:left="0" w:right="0" w:firstLine="420" w:firstLineChars="0"/>
        <w:jc w:val="both"/>
        <w:rPr>
          <w:rFonts w:hint="eastAsia"/>
          <w:kern w:val="0"/>
          <w:sz w:val="24"/>
          <w:szCs w:val="20"/>
        </w:rPr>
      </w:pPr>
      <w:r>
        <w:rPr>
          <w:rFonts w:hint="eastAsia"/>
          <w:kern w:val="0"/>
          <w:sz w:val="24"/>
          <w:szCs w:val="20"/>
        </w:rPr>
        <w:t>在集体推优方面，通过设立面向优秀骨干的 “计研领航之星” 以及面向优秀支部的相关先进奖项，全力培育同学们的集体荣誉感。集体育人涵盖两个关键维度：其一，着力培养具备集体主义精神、团队协作能力的个体；其二，将整个集体视作一个育人主体，营造全员、全过程、全方位的育人环境。计算机系的表彰视角不局限于学生个人，更从集体层面为同学们树立典型、弘扬先进，让同学们在集体推优过程中全员参与，携手共进、共同成长。</w:t>
      </w:r>
    </w:p>
    <w:p w14:paraId="137A7F48">
      <w:pPr>
        <w:spacing w:line="300" w:lineRule="auto"/>
        <w:rPr>
          <w:rFonts w:hint="default" w:eastAsia="宋体"/>
          <w:b/>
          <w:kern w:val="0"/>
          <w:sz w:val="28"/>
          <w:szCs w:val="28"/>
          <w:lang w:val="en-US" w:eastAsia="zh-CN"/>
        </w:rPr>
      </w:pPr>
      <w:r>
        <w:rPr>
          <w:rFonts w:hint="eastAsia"/>
          <w:b/>
          <w:kern w:val="0"/>
          <w:sz w:val="28"/>
          <w:szCs w:val="28"/>
          <w:lang w:val="en-US" w:eastAsia="zh-CN"/>
        </w:rPr>
        <w:t>4</w:t>
      </w:r>
      <w:r>
        <w:rPr>
          <w:b/>
          <w:kern w:val="0"/>
          <w:sz w:val="28"/>
          <w:szCs w:val="28"/>
        </w:rPr>
        <w:t>.</w:t>
      </w:r>
      <w:r>
        <w:rPr>
          <w:rFonts w:hint="eastAsia"/>
          <w:b/>
          <w:kern w:val="0"/>
          <w:sz w:val="28"/>
          <w:szCs w:val="28"/>
          <w:lang w:val="en-US" w:eastAsia="zh-CN"/>
        </w:rPr>
        <w:t>2</w:t>
      </w:r>
      <w:r>
        <w:rPr>
          <w:b/>
          <w:kern w:val="0"/>
          <w:sz w:val="28"/>
          <w:szCs w:val="28"/>
        </w:rPr>
        <w:t xml:space="preserve"> </w:t>
      </w:r>
      <w:r>
        <w:rPr>
          <w:rFonts w:hint="eastAsia"/>
          <w:b/>
          <w:kern w:val="0"/>
          <w:sz w:val="28"/>
          <w:szCs w:val="28"/>
          <w:lang w:val="en-US" w:eastAsia="zh-CN"/>
        </w:rPr>
        <w:t>工作案例：软件所计研五三党支部</w:t>
      </w:r>
    </w:p>
    <w:p w14:paraId="23B8D9BD">
      <w:pPr>
        <w:snapToGrid/>
        <w:spacing w:before="0" w:after="0" w:line="240" w:lineRule="auto"/>
        <w:ind w:left="0" w:right="0" w:firstLine="420" w:firstLineChars="0"/>
        <w:jc w:val="both"/>
        <w:rPr>
          <w:rFonts w:hint="eastAsia"/>
          <w:kern w:val="0"/>
          <w:sz w:val="24"/>
          <w:szCs w:val="20"/>
        </w:rPr>
      </w:pPr>
      <w:r>
        <w:rPr>
          <w:rFonts w:hint="eastAsia"/>
          <w:kern w:val="0"/>
          <w:sz w:val="24"/>
          <w:szCs w:val="20"/>
        </w:rPr>
        <w:t>计研五三党支部为计算机系软件研究所的纵向学生党支部，覆盖各年级学生，始终以 “强基铸魂、五育融合” 为核心，在骨干培养、五育并举和集体推优等方面形成系统性育人体系，成为研究生基层组织建设的标杆。支部以 “党建强基、科技赋能、五育并举” 的创新实践，探索出具有清华特色的党团班一体化协同育人路径，为高校基层党建与人才培养深度融合提供了鲜活样本。</w:t>
      </w:r>
    </w:p>
    <w:p w14:paraId="0CEFD87A">
      <w:pPr>
        <w:snapToGrid/>
        <w:spacing w:before="0" w:after="0" w:line="240" w:lineRule="auto"/>
        <w:ind w:left="0" w:right="0" w:firstLine="420" w:firstLineChars="0"/>
        <w:jc w:val="both"/>
        <w:rPr>
          <w:rFonts w:hint="eastAsia"/>
          <w:kern w:val="0"/>
          <w:sz w:val="24"/>
          <w:szCs w:val="20"/>
        </w:rPr>
      </w:pPr>
      <w:r>
        <w:rPr>
          <w:rFonts w:hint="eastAsia"/>
          <w:b/>
          <w:kern w:val="0"/>
          <w:sz w:val="24"/>
          <w:szCs w:val="20"/>
        </w:rPr>
        <w:t>骨干培养，构建多维协同育人体系。</w:t>
      </w:r>
      <w:r>
        <w:rPr>
          <w:rFonts w:hint="eastAsia"/>
          <w:kern w:val="0"/>
          <w:sz w:val="24"/>
          <w:szCs w:val="20"/>
        </w:rPr>
        <w:t>支部创新建立《党团班一体化发展台账》制度，将党团务工作全流程与人才培养标准化管理深度融合，形成横向党团班协同、纵向年级贯通的培养机制。针对高年级学生占比高的特点，支部构建 “实践 - 理论 - 党课 - 交流” 四位一体育人模式：实践维度，组织成员赴邓小平同志诞辰 120 周年纪念展览开展 “铭记伟人贡献” 主题党日，强化家国情怀教育；理论维度，举办 “党团班一体化发展” 专题培训，系统学习全国高校样板支部建设经验，</w:t>
      </w:r>
      <w:r>
        <w:rPr>
          <w:rFonts w:ascii="微软雅黑" w:hAnsi="微软雅黑" w:cs="微软雅黑"/>
          <w:i w:val="0"/>
          <w:strike w:val="0"/>
          <w:color w:val="000000"/>
          <w:spacing w:val="0"/>
          <w:sz w:val="24"/>
          <w:u w:val="none"/>
          <w:shd w:val="clear" w:color="auto" w:fill="FFFFFF"/>
        </w:rPr>
        <w:t>推动经验落地实践</w:t>
      </w:r>
      <w:r>
        <w:rPr>
          <w:rFonts w:hint="eastAsia"/>
          <w:kern w:val="0"/>
          <w:sz w:val="24"/>
          <w:szCs w:val="20"/>
        </w:rPr>
        <w:t>；党课维度，支部书记主讲 “深化党史党章学习” 专题党课，采用 “线上直播 + 线下研讨” 形式覆盖全体成员，创新党员教育载体；交流维度则通过与文科院系开展 “文化自信与科技自立” 跨支部联学，促进学科交叉与思想碰撞。同时，在党员发展中，支部构建 “积极分子 - 预备党员 - 正式党员” 三级培养体系，创新实施 “入党即服务” 机制，通过引导支部同学参与群众工作、志愿服务等实践，实现党员发展与服务育人的双向促进，精准响应青年成长需求。</w:t>
      </w:r>
    </w:p>
    <w:p w14:paraId="5B86F20D">
      <w:pPr>
        <w:snapToGrid/>
        <w:spacing w:before="0" w:after="0" w:line="240" w:lineRule="auto"/>
        <w:ind w:left="0" w:right="0" w:firstLine="420" w:firstLineChars="0"/>
        <w:jc w:val="both"/>
        <w:rPr>
          <w:rFonts w:hint="eastAsia"/>
          <w:kern w:val="0"/>
          <w:sz w:val="24"/>
          <w:szCs w:val="20"/>
        </w:rPr>
      </w:pPr>
      <w:r>
        <w:rPr>
          <w:rFonts w:hint="eastAsia"/>
          <w:b/>
          <w:kern w:val="0"/>
          <w:sz w:val="24"/>
          <w:szCs w:val="20"/>
        </w:rPr>
        <w:t>五育并举，打造特色化育人品牌矩阵。</w:t>
      </w:r>
      <w:r>
        <w:rPr>
          <w:rFonts w:hint="eastAsia"/>
          <w:kern w:val="0"/>
          <w:sz w:val="24"/>
          <w:szCs w:val="20"/>
        </w:rPr>
        <w:t>支部以 “专题化、项目化、品牌化” 为路径，依托 “计研领航” 等计划，构建 “每月一育” 系统性实践框架，将德智体美劳教育深度融入研究生成长全过程，打造出特色化育人品牌矩阵。德育铸魂方面，开展 “计研青年说” 中国式现代化系列微宣讲，结合学科特色解读科技创新与国家战略的关系，强化研究生的使命担当；智育赋能环节，组织 “两弹一星” 历史学习活动，通过观看相关科研攻关历程影片，引导学生体悟 “干惊天动地事，做隐姓埋名人” 的奋斗精神；体育强基上，创新 “导学双打” 赛制，通过羽毛球、台球等文体活动促进师生互动，构建 “学术交流 + 身心健康” 双促进模式；美育润心之时，联合美术学院开展 “跨学科协同发展新质生产力” 主题研讨，探索科技与艺术融合的创新路径；劳育促行中，与龙岗社区共建 “智慧助学” 志愿服务，面向学生家长开展 AI 工具培训，将专业知识转化为服务社会的实践能力。</w:t>
      </w:r>
    </w:p>
    <w:p w14:paraId="0A1E21E4">
      <w:pPr>
        <w:snapToGrid/>
        <w:spacing w:before="0" w:after="0" w:line="240" w:lineRule="auto"/>
        <w:ind w:left="0" w:right="0" w:firstLine="420" w:firstLineChars="0"/>
        <w:jc w:val="both"/>
        <w:rPr>
          <w:rFonts w:hint="eastAsia"/>
          <w:kern w:val="0"/>
          <w:sz w:val="24"/>
          <w:szCs w:val="20"/>
        </w:rPr>
      </w:pPr>
      <w:r>
        <w:rPr>
          <w:rFonts w:hint="eastAsia"/>
          <w:b/>
          <w:kern w:val="0"/>
          <w:sz w:val="24"/>
          <w:szCs w:val="20"/>
        </w:rPr>
        <w:t>集体推优，塑造标杆型示范组织。</w:t>
      </w:r>
      <w:r>
        <w:rPr>
          <w:rFonts w:hint="eastAsia"/>
          <w:kern w:val="0"/>
          <w:sz w:val="24"/>
          <w:szCs w:val="20"/>
        </w:rPr>
        <w:t>支部积极响应学校和院系对先进支部的建设要求，形成 “骨干引领、集体共进” 的推优机制。个人层面，支部骨干均获 “计研领航之星” 称号，涵盖党建学习、志愿服务、文体活动等多个领域，发挥示范带动作用；集体层面，支部获评校级 “笃行” 班团称号，入围 “甲级团支部” 评选并最终获此殊荣；品牌传播上，支部积极牵头组织 “雁行” 计划、主题教育等重点项目，在校系相关平台发布宣传稿件几十余篇，形成广泛影响力。</w:t>
      </w:r>
    </w:p>
    <w:p w14:paraId="540FE566">
      <w:pPr>
        <w:snapToGrid/>
        <w:spacing w:before="0" w:after="0" w:line="240" w:lineRule="auto"/>
        <w:ind w:left="0" w:right="0" w:firstLine="420" w:firstLineChars="0"/>
        <w:jc w:val="both"/>
        <w:rPr>
          <w:rFonts w:hint="eastAsia"/>
          <w:kern w:val="0"/>
          <w:sz w:val="24"/>
          <w:szCs w:val="20"/>
        </w:rPr>
      </w:pPr>
      <w:r>
        <w:rPr>
          <w:rFonts w:hint="eastAsia"/>
          <w:kern w:val="0"/>
          <w:sz w:val="24"/>
          <w:szCs w:val="20"/>
        </w:rPr>
        <w:t>整体而言，计研五三党支部以 “党建强基、科技赋能、五育并举” 为核心，形成了三大特色经验。其一，通过台账制度、联合培养等机制实现党团班一体化协同，让组织建设与育人载体深度融合，避免了研究生党建与科研 “两张皮” 问题；其二，将计算机学科优势与思政教育、文化传承、社会实践有机结合，如 “智慧助学” 项目推动 AI 技术服务社区，体现了科技向善理念，实现了学科特色赋能育人；其三，从新生入学到毕业离校，构建覆盖理论学习、科研实践、社会服务的全链条培养模式，形成全周期育人体系，助力学生成长为 “又红又专” 的领军人才。支部的创新实践为实施纵向分层施策，确保集体育人实现全覆盖提供了可复制、可推广的经验。未来，支部将继续以习近平新时代中国特色社会主义思想为指导，深化 “党团班一体化协同” 育人格局，为培养担当民族复兴大任的时代新人贡献清华力量。</w:t>
      </w:r>
    </w:p>
    <w:p w14:paraId="1B654CE6">
      <w:pPr>
        <w:snapToGrid/>
        <w:spacing w:before="0" w:after="0" w:line="240" w:lineRule="auto"/>
        <w:ind w:left="0" w:right="0"/>
        <w:jc w:val="center"/>
      </w:pPr>
      <w:r>
        <w:drawing>
          <wp:inline distT="0" distB="0" distL="0" distR="0">
            <wp:extent cx="2318385" cy="1738630"/>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5" name="picture" descr="descript"/>
                    <pic:cNvPicPr/>
                  </pic:nvPicPr>
                  <pic:blipFill>
                    <a:blip r:embed="rId16"/>
                    <a:stretch>
                      <a:fillRect/>
                    </a:stretch>
                  </pic:blipFill>
                  <pic:spPr>
                    <a:xfrm>
                      <a:off x="0" y="0"/>
                      <a:ext cx="2318385" cy="1738789"/>
                    </a:xfrm>
                    <a:prstGeom prst="rect">
                      <a:avLst/>
                    </a:prstGeom>
                  </pic:spPr>
                </pic:pic>
              </a:graphicData>
            </a:graphic>
          </wp:inline>
        </w:drawing>
      </w:r>
      <w:r>
        <w:rPr>
          <w:rFonts w:hint="eastAsia"/>
        </w:rPr>
        <w:t xml:space="preserve"> </w:t>
      </w:r>
      <w:r>
        <w:drawing>
          <wp:inline distT="0" distB="0" distL="0" distR="0">
            <wp:extent cx="2337435" cy="1752600"/>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8" name="picture" descr="descript"/>
                    <pic:cNvPicPr/>
                  </pic:nvPicPr>
                  <pic:blipFill>
                    <a:blip r:embed="rId17"/>
                    <a:stretch>
                      <a:fillRect/>
                    </a:stretch>
                  </pic:blipFill>
                  <pic:spPr>
                    <a:xfrm>
                      <a:off x="0" y="0"/>
                      <a:ext cx="2337435" cy="1753077"/>
                    </a:xfrm>
                    <a:prstGeom prst="rect">
                      <a:avLst/>
                    </a:prstGeom>
                  </pic:spPr>
                </pic:pic>
              </a:graphicData>
            </a:graphic>
          </wp:inline>
        </w:drawing>
      </w:r>
    </w:p>
    <w:p w14:paraId="7B54446F">
      <w:pPr>
        <w:pBdr>
          <w:bottom w:val="none" w:color="auto" w:sz="0" w:space="0"/>
        </w:pBdr>
        <w:snapToGrid/>
        <w:spacing w:before="0" w:after="0" w:line="240" w:lineRule="auto"/>
        <w:ind w:left="0" w:right="0"/>
        <w:jc w:val="center"/>
      </w:pPr>
      <w:r>
        <w:rPr>
          <w:rFonts w:hint="eastAsia"/>
        </w:rPr>
        <w:t>图3 计算机系软件所支部党团班一体化发展活动合影</w:t>
      </w:r>
    </w:p>
    <w:p w14:paraId="753334FD">
      <w:pPr>
        <w:snapToGrid/>
        <w:spacing w:before="0" w:after="0" w:line="240" w:lineRule="auto"/>
        <w:ind w:left="0" w:right="0" w:firstLine="420" w:firstLineChars="0"/>
        <w:jc w:val="both"/>
        <w:rPr>
          <w:rFonts w:hint="eastAsia"/>
          <w:kern w:val="0"/>
          <w:sz w:val="24"/>
          <w:szCs w:val="20"/>
        </w:rPr>
      </w:pPr>
    </w:p>
    <w:p w14:paraId="530C4AFC">
      <w:pPr>
        <w:pBdr>
          <w:bottom w:val="none" w:color="auto" w:sz="0" w:space="0"/>
        </w:pBdr>
        <w:snapToGrid/>
        <w:spacing w:before="0" w:after="0" w:line="240" w:lineRule="auto"/>
        <w:ind w:left="0" w:right="0"/>
        <w:jc w:val="both"/>
      </w:pPr>
    </w:p>
    <w:p w14:paraId="191AE1C3">
      <w:pPr>
        <w:spacing w:line="300" w:lineRule="auto"/>
        <w:ind w:firstLine="480" w:firstLineChars="200"/>
        <w:rPr>
          <w:kern w:val="0"/>
          <w:sz w:val="24"/>
          <w:szCs w:val="20"/>
        </w:rPr>
      </w:pPr>
    </w:p>
    <w:p w14:paraId="30A21B42">
      <w:pPr>
        <w:spacing w:line="300" w:lineRule="auto"/>
        <w:rPr>
          <w:kern w:val="0"/>
          <w:sz w:val="24"/>
          <w:szCs w:val="20"/>
        </w:rPr>
      </w:pPr>
    </w:p>
    <w:p w14:paraId="6BB898FA">
      <w:pPr>
        <w:spacing w:line="300" w:lineRule="auto"/>
        <w:rPr>
          <w:b/>
          <w:kern w:val="0"/>
          <w:sz w:val="28"/>
          <w:szCs w:val="28"/>
        </w:rPr>
      </w:pPr>
    </w:p>
    <w:p w14:paraId="28A29A78">
      <w:pPr>
        <w:spacing w:line="300" w:lineRule="auto"/>
        <w:rPr>
          <w:b/>
          <w:kern w:val="0"/>
          <w:sz w:val="28"/>
          <w:szCs w:val="28"/>
        </w:rPr>
      </w:pPr>
      <w:r>
        <w:rPr>
          <w:b/>
          <w:kern w:val="0"/>
          <w:sz w:val="28"/>
          <w:szCs w:val="28"/>
        </w:rPr>
        <w:t>参考文献</w:t>
      </w:r>
    </w:p>
    <w:p w14:paraId="7F0AF7BC">
      <w:pPr>
        <w:spacing w:line="300" w:lineRule="auto"/>
        <w:ind w:firstLine="480" w:firstLineChars="200"/>
        <w:rPr>
          <w:kern w:val="0"/>
          <w:sz w:val="24"/>
          <w:szCs w:val="20"/>
        </w:rPr>
      </w:pPr>
      <w:r>
        <w:rPr>
          <w:kern w:val="0"/>
          <w:sz w:val="24"/>
          <w:szCs w:val="20"/>
        </w:rPr>
        <w:t>统一标注于文后，用顺序编码制，文中标注于引用内容段后右上角（例如</w:t>
      </w:r>
      <w:r>
        <w:rPr>
          <w:kern w:val="0"/>
          <w:sz w:val="24"/>
          <w:szCs w:val="20"/>
          <w:vertAlign w:val="superscript"/>
        </w:rPr>
        <w:t>[1]</w:t>
      </w:r>
      <w:r>
        <w:rPr>
          <w:kern w:val="0"/>
          <w:sz w:val="24"/>
          <w:szCs w:val="20"/>
        </w:rPr>
        <w:t>）。著作要提供作者、书名[文献类型标识]、出版地、出版单位、出版年、页码。期刊要求提供作者、篇名、期刊名、年份、卷号、期号、页码。（小四，宋体，1.25倍行距，段前0，段后0）</w:t>
      </w:r>
    </w:p>
    <w:p w14:paraId="1B310B31">
      <w:pPr>
        <w:pBdr>
          <w:bottom w:val="none" w:color="auto" w:sz="0" w:space="0"/>
        </w:pBdr>
        <w:spacing w:line="300" w:lineRule="auto"/>
        <w:ind w:firstLine="480" w:firstLineChars="200"/>
        <w:jc w:val="left"/>
        <w:rPr>
          <w:kern w:val="0"/>
          <w:sz w:val="24"/>
          <w:szCs w:val="20"/>
        </w:rPr>
      </w:pPr>
      <w:r>
        <w:rPr>
          <w:kern w:val="0"/>
          <w:sz w:val="24"/>
          <w:szCs w:val="20"/>
        </w:rPr>
        <w:t>例如：</w:t>
      </w:r>
    </w:p>
    <w:p w14:paraId="4B698A80">
      <w:pPr>
        <w:numPr>
          <w:ilvl w:val="0"/>
          <w:numId w:val="1"/>
        </w:numPr>
        <w:spacing w:line="300" w:lineRule="auto"/>
        <w:ind w:left="1" w:leftChars="-12" w:hanging="26" w:hangingChars="11"/>
        <w:rPr>
          <w:kern w:val="0"/>
          <w:sz w:val="24"/>
          <w:szCs w:val="20"/>
        </w:rPr>
      </w:pPr>
      <w:r>
        <w:rPr>
          <w:i w:val="0"/>
          <w:strike w:val="0"/>
          <w:spacing w:val="0"/>
          <w:sz w:val="24"/>
          <w:u w:val="none"/>
        </w:rPr>
        <w:t>韩永萍,杨建兰,刘红梅,等.基于“多元融合、纵向班、多导师制”强化专业创新创业实践能力探索与实践[J].创新创业理论研究与实践,2023,6(05):103-106.</w:t>
      </w:r>
    </w:p>
    <w:p w14:paraId="1C861D78">
      <w:pPr>
        <w:numPr>
          <w:ilvl w:val="0"/>
          <w:numId w:val="1"/>
        </w:numPr>
        <w:spacing w:line="300" w:lineRule="auto"/>
        <w:ind w:left="1" w:leftChars="-12" w:hanging="26" w:hangingChars="11"/>
        <w:rPr>
          <w:kern w:val="0"/>
          <w:sz w:val="24"/>
          <w:szCs w:val="20"/>
        </w:rPr>
      </w:pPr>
      <w:r>
        <w:rPr>
          <w:kern w:val="0"/>
          <w:sz w:val="24"/>
          <w:szCs w:val="20"/>
        </w:rPr>
        <w:t>张昆, 冯立群, 余昌钰, 等. 机器人柔性手腕的球面齿轮设计研究. 清华大学学报: 自然科学版, 1994, 34(2):1-7.</w:t>
      </w:r>
    </w:p>
    <w:p w14:paraId="47B2BB43">
      <w:pPr>
        <w:numPr>
          <w:ilvl w:val="0"/>
          <w:numId w:val="1"/>
        </w:numPr>
        <w:spacing w:line="300" w:lineRule="auto"/>
        <w:ind w:left="1" w:leftChars="-12" w:hanging="26" w:hangingChars="11"/>
        <w:rPr>
          <w:kern w:val="0"/>
          <w:sz w:val="24"/>
          <w:szCs w:val="20"/>
        </w:rPr>
      </w:pPr>
      <w:r>
        <w:rPr>
          <w:kern w:val="0"/>
          <w:sz w:val="24"/>
          <w:szCs w:val="20"/>
        </w:rPr>
        <w:t>竺可桢. 物理学. 北京: 科学出版社, 1973:56-60.</w:t>
      </w:r>
    </w:p>
    <w:p w14:paraId="3E42A9AF">
      <w:pPr>
        <w:numPr>
          <w:ilvl w:val="0"/>
          <w:numId w:val="1"/>
        </w:numPr>
        <w:spacing w:line="300" w:lineRule="auto"/>
        <w:ind w:left="1" w:leftChars="-12" w:hanging="26" w:hangingChars="11"/>
        <w:rPr>
          <w:kern w:val="0"/>
          <w:sz w:val="24"/>
          <w:szCs w:val="20"/>
        </w:rPr>
      </w:pPr>
      <w:r>
        <w:rPr>
          <w:kern w:val="0"/>
          <w:sz w:val="24"/>
          <w:szCs w:val="20"/>
        </w:rPr>
        <w:t>Dupont B. Bone marrow transplantation in severe combined immunodeficiency with an unrelated MLC compatible donor. // White H J, Smith R, eds. Proceedings of the Third Annual Meeting of the International Society for Experimental Hematology. Houston: International Society for Experimental Hematology, 1974:44-46.</w:t>
      </w:r>
    </w:p>
    <w:p w14:paraId="7B495B96">
      <w:pPr>
        <w:numPr>
          <w:ilvl w:val="0"/>
          <w:numId w:val="1"/>
        </w:numPr>
        <w:spacing w:line="300" w:lineRule="auto"/>
        <w:ind w:left="1" w:leftChars="-12" w:hanging="26" w:hangingChars="11"/>
        <w:rPr>
          <w:rFonts w:hint="eastAsia"/>
          <w:kern w:val="0"/>
          <w:sz w:val="24"/>
          <w:szCs w:val="20"/>
        </w:rPr>
      </w:pPr>
      <w:r>
        <w:rPr>
          <w:kern w:val="0"/>
          <w:sz w:val="24"/>
          <w:szCs w:val="20"/>
        </w:rPr>
        <w:t>郑开青. 通讯系统模拟及软件[硕士学位论文]. 北京: 清华大学无线电系, 1987.</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modern"/>
    <w:pitch w:val="default"/>
    <w:sig w:usb0="00000000" w:usb1="00000000" w:usb2="00000010" w:usb3="00000000" w:csb0="00040000" w:csb1="00000000"/>
  </w:font>
  <w:font w:name="楷体_GB2312">
    <w:altName w:val="汉仪楷体简"/>
    <w:panose1 w:val="02010609030101010101"/>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微软雅黑">
    <w:altName w:val="汉仪旗黑"/>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楷体简">
    <w:panose1 w:val="02010600000101010101"/>
    <w:charset w:val="86"/>
    <w:family w:val="auto"/>
    <w:pitch w:val="default"/>
    <w:sig w:usb0="00000001" w:usb1="080E0800" w:usb2="00000002"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5016631"/>
      <w:docPartObj>
        <w:docPartGallery w:val="autotext"/>
      </w:docPartObj>
    </w:sdtPr>
    <w:sdtContent>
      <w:p w14:paraId="7167CBC7">
        <w:pPr>
          <w:pStyle w:val="12"/>
          <w:jc w:val="center"/>
        </w:pPr>
        <w:r>
          <w:fldChar w:fldCharType="begin"/>
        </w:r>
        <w:r>
          <w:instrText xml:space="preserve">PAGE   \* MERGEFORMAT</w:instrText>
        </w:r>
        <w:r>
          <w:fldChar w:fldCharType="separate"/>
        </w:r>
        <w:r>
          <w:t>2</w:t>
        </w:r>
        <w:r>
          <w:fldChar w:fldCharType="end"/>
        </w:r>
      </w:p>
    </w:sdtContent>
  </w:sdt>
  <w:p w14:paraId="3CB7E46E">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226AFF"/>
    <w:multiLevelType w:val="multilevel"/>
    <w:tmpl w:val="03226AFF"/>
    <w:lvl w:ilvl="0" w:tentative="0">
      <w:start w:val="1"/>
      <w:numFmt w:val="decimal"/>
      <w:lvlText w:val="[%1]"/>
      <w:lvlJc w:val="left"/>
      <w:pPr>
        <w:tabs>
          <w:tab w:val="left" w:pos="567"/>
        </w:tabs>
        <w:ind w:left="567"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I0Y2YxZGI3NDE0NDY3MjAzMGRkMjQ5MGE3YjQ5MmMifQ=="/>
  </w:docVars>
  <w:rsids>
    <w:rsidRoot w:val="00632AB0"/>
    <w:rsid w:val="00001D36"/>
    <w:rsid w:val="000029E2"/>
    <w:rsid w:val="00002E5D"/>
    <w:rsid w:val="000045F9"/>
    <w:rsid w:val="000135BD"/>
    <w:rsid w:val="0001384B"/>
    <w:rsid w:val="0001546F"/>
    <w:rsid w:val="00015EC7"/>
    <w:rsid w:val="0001628E"/>
    <w:rsid w:val="000165D2"/>
    <w:rsid w:val="00021565"/>
    <w:rsid w:val="00024666"/>
    <w:rsid w:val="00030703"/>
    <w:rsid w:val="00055745"/>
    <w:rsid w:val="00061EA0"/>
    <w:rsid w:val="000723B8"/>
    <w:rsid w:val="00074777"/>
    <w:rsid w:val="00074C30"/>
    <w:rsid w:val="0009244A"/>
    <w:rsid w:val="00096EAC"/>
    <w:rsid w:val="000974C9"/>
    <w:rsid w:val="000A0C6F"/>
    <w:rsid w:val="000A2048"/>
    <w:rsid w:val="000A5667"/>
    <w:rsid w:val="000A7981"/>
    <w:rsid w:val="000A7C11"/>
    <w:rsid w:val="000B3371"/>
    <w:rsid w:val="000C2F11"/>
    <w:rsid w:val="000D0EAB"/>
    <w:rsid w:val="000D2240"/>
    <w:rsid w:val="000D6C64"/>
    <w:rsid w:val="000E4FB3"/>
    <w:rsid w:val="00105CBC"/>
    <w:rsid w:val="00112CD0"/>
    <w:rsid w:val="00124695"/>
    <w:rsid w:val="0012472E"/>
    <w:rsid w:val="00130719"/>
    <w:rsid w:val="00131836"/>
    <w:rsid w:val="00134AB5"/>
    <w:rsid w:val="00136FB8"/>
    <w:rsid w:val="00137BBA"/>
    <w:rsid w:val="00137CF9"/>
    <w:rsid w:val="00141646"/>
    <w:rsid w:val="00147473"/>
    <w:rsid w:val="00152724"/>
    <w:rsid w:val="00153CB3"/>
    <w:rsid w:val="00160C70"/>
    <w:rsid w:val="00162CCD"/>
    <w:rsid w:val="00170369"/>
    <w:rsid w:val="001703EA"/>
    <w:rsid w:val="00177B4D"/>
    <w:rsid w:val="00177C2B"/>
    <w:rsid w:val="001801C9"/>
    <w:rsid w:val="00181F85"/>
    <w:rsid w:val="00183AB6"/>
    <w:rsid w:val="001845D3"/>
    <w:rsid w:val="0019144D"/>
    <w:rsid w:val="00191C50"/>
    <w:rsid w:val="00193813"/>
    <w:rsid w:val="00194C18"/>
    <w:rsid w:val="00197568"/>
    <w:rsid w:val="001A15FB"/>
    <w:rsid w:val="001A4323"/>
    <w:rsid w:val="001A57F0"/>
    <w:rsid w:val="001B051B"/>
    <w:rsid w:val="001B542D"/>
    <w:rsid w:val="001B7542"/>
    <w:rsid w:val="001C1317"/>
    <w:rsid w:val="001C1B73"/>
    <w:rsid w:val="001C2FD7"/>
    <w:rsid w:val="001C67E8"/>
    <w:rsid w:val="001C6939"/>
    <w:rsid w:val="001D4181"/>
    <w:rsid w:val="001D68BA"/>
    <w:rsid w:val="001E029B"/>
    <w:rsid w:val="001E3CBF"/>
    <w:rsid w:val="001E735E"/>
    <w:rsid w:val="001F127F"/>
    <w:rsid w:val="001F2081"/>
    <w:rsid w:val="001F3614"/>
    <w:rsid w:val="001F4F41"/>
    <w:rsid w:val="001F52D9"/>
    <w:rsid w:val="001F6966"/>
    <w:rsid w:val="001F6E6A"/>
    <w:rsid w:val="002016AF"/>
    <w:rsid w:val="00204E3E"/>
    <w:rsid w:val="00210244"/>
    <w:rsid w:val="0021067B"/>
    <w:rsid w:val="00220268"/>
    <w:rsid w:val="00220FC2"/>
    <w:rsid w:val="002214CB"/>
    <w:rsid w:val="00221996"/>
    <w:rsid w:val="0023104D"/>
    <w:rsid w:val="00235F1D"/>
    <w:rsid w:val="00243BBF"/>
    <w:rsid w:val="00244F2B"/>
    <w:rsid w:val="00252ECA"/>
    <w:rsid w:val="00255FB1"/>
    <w:rsid w:val="0027645C"/>
    <w:rsid w:val="00282770"/>
    <w:rsid w:val="002865DE"/>
    <w:rsid w:val="00293E81"/>
    <w:rsid w:val="00297CB1"/>
    <w:rsid w:val="002A5494"/>
    <w:rsid w:val="002A5BC2"/>
    <w:rsid w:val="002B0719"/>
    <w:rsid w:val="002B3507"/>
    <w:rsid w:val="002B6FC8"/>
    <w:rsid w:val="002B7093"/>
    <w:rsid w:val="002C1AC9"/>
    <w:rsid w:val="002D110F"/>
    <w:rsid w:val="002D1413"/>
    <w:rsid w:val="002D328B"/>
    <w:rsid w:val="002D7762"/>
    <w:rsid w:val="002D7988"/>
    <w:rsid w:val="002E23DC"/>
    <w:rsid w:val="002F0993"/>
    <w:rsid w:val="00301B84"/>
    <w:rsid w:val="00303BCF"/>
    <w:rsid w:val="003062EE"/>
    <w:rsid w:val="003063CA"/>
    <w:rsid w:val="0031047A"/>
    <w:rsid w:val="00314636"/>
    <w:rsid w:val="00314EFD"/>
    <w:rsid w:val="00316BD9"/>
    <w:rsid w:val="00316F92"/>
    <w:rsid w:val="00331AC8"/>
    <w:rsid w:val="00333445"/>
    <w:rsid w:val="00335A12"/>
    <w:rsid w:val="0033721F"/>
    <w:rsid w:val="00337618"/>
    <w:rsid w:val="00342551"/>
    <w:rsid w:val="003427D0"/>
    <w:rsid w:val="0034350E"/>
    <w:rsid w:val="00344F0D"/>
    <w:rsid w:val="0034682F"/>
    <w:rsid w:val="003473B7"/>
    <w:rsid w:val="00364DDC"/>
    <w:rsid w:val="00371066"/>
    <w:rsid w:val="00381C14"/>
    <w:rsid w:val="0038703E"/>
    <w:rsid w:val="00387ADF"/>
    <w:rsid w:val="003914CC"/>
    <w:rsid w:val="003A1418"/>
    <w:rsid w:val="003C3034"/>
    <w:rsid w:val="003C560C"/>
    <w:rsid w:val="003D36C8"/>
    <w:rsid w:val="003E0F76"/>
    <w:rsid w:val="003E5515"/>
    <w:rsid w:val="00403719"/>
    <w:rsid w:val="00407915"/>
    <w:rsid w:val="004110F2"/>
    <w:rsid w:val="00417998"/>
    <w:rsid w:val="00422CB1"/>
    <w:rsid w:val="0043266E"/>
    <w:rsid w:val="00432DDE"/>
    <w:rsid w:val="00440762"/>
    <w:rsid w:val="00442A98"/>
    <w:rsid w:val="00444A26"/>
    <w:rsid w:val="00450A00"/>
    <w:rsid w:val="0045156D"/>
    <w:rsid w:val="004531D2"/>
    <w:rsid w:val="00453A97"/>
    <w:rsid w:val="00461249"/>
    <w:rsid w:val="00461D94"/>
    <w:rsid w:val="00463805"/>
    <w:rsid w:val="004675C0"/>
    <w:rsid w:val="00471DD6"/>
    <w:rsid w:val="00474920"/>
    <w:rsid w:val="0049061C"/>
    <w:rsid w:val="004A2941"/>
    <w:rsid w:val="004B15A7"/>
    <w:rsid w:val="004B1D16"/>
    <w:rsid w:val="004B4008"/>
    <w:rsid w:val="004B4D27"/>
    <w:rsid w:val="004B6DB9"/>
    <w:rsid w:val="004C11A3"/>
    <w:rsid w:val="004C5331"/>
    <w:rsid w:val="004D710B"/>
    <w:rsid w:val="004D71C4"/>
    <w:rsid w:val="004E155C"/>
    <w:rsid w:val="004E3A86"/>
    <w:rsid w:val="004E73F1"/>
    <w:rsid w:val="004F2CC9"/>
    <w:rsid w:val="004F5AC4"/>
    <w:rsid w:val="004F68FF"/>
    <w:rsid w:val="00515035"/>
    <w:rsid w:val="005174A8"/>
    <w:rsid w:val="0052051F"/>
    <w:rsid w:val="005225B2"/>
    <w:rsid w:val="00524192"/>
    <w:rsid w:val="00527BFE"/>
    <w:rsid w:val="00545C52"/>
    <w:rsid w:val="00547C90"/>
    <w:rsid w:val="00551CF6"/>
    <w:rsid w:val="00555406"/>
    <w:rsid w:val="00557BFA"/>
    <w:rsid w:val="00560550"/>
    <w:rsid w:val="00563BDA"/>
    <w:rsid w:val="00567E49"/>
    <w:rsid w:val="00570E8B"/>
    <w:rsid w:val="00572A4F"/>
    <w:rsid w:val="00573A82"/>
    <w:rsid w:val="0057662B"/>
    <w:rsid w:val="00580949"/>
    <w:rsid w:val="00595166"/>
    <w:rsid w:val="0059619A"/>
    <w:rsid w:val="005A2B1C"/>
    <w:rsid w:val="005A31F8"/>
    <w:rsid w:val="005B23CC"/>
    <w:rsid w:val="005B2EEF"/>
    <w:rsid w:val="005B6FA7"/>
    <w:rsid w:val="005C5BD3"/>
    <w:rsid w:val="005D430E"/>
    <w:rsid w:val="005E2641"/>
    <w:rsid w:val="005E438F"/>
    <w:rsid w:val="005E6A18"/>
    <w:rsid w:val="005F2B4C"/>
    <w:rsid w:val="005F55BE"/>
    <w:rsid w:val="005F6916"/>
    <w:rsid w:val="005F74CE"/>
    <w:rsid w:val="00606BBB"/>
    <w:rsid w:val="00627D59"/>
    <w:rsid w:val="006300C6"/>
    <w:rsid w:val="00632AB0"/>
    <w:rsid w:val="00640BB6"/>
    <w:rsid w:val="00650A4F"/>
    <w:rsid w:val="00655930"/>
    <w:rsid w:val="006605A0"/>
    <w:rsid w:val="006709A3"/>
    <w:rsid w:val="00676770"/>
    <w:rsid w:val="00676A1C"/>
    <w:rsid w:val="006902E6"/>
    <w:rsid w:val="0069142D"/>
    <w:rsid w:val="0069429F"/>
    <w:rsid w:val="006B3358"/>
    <w:rsid w:val="006D4954"/>
    <w:rsid w:val="006F0100"/>
    <w:rsid w:val="006F365C"/>
    <w:rsid w:val="007038C2"/>
    <w:rsid w:val="0071090A"/>
    <w:rsid w:val="00714A5C"/>
    <w:rsid w:val="00722E66"/>
    <w:rsid w:val="00725317"/>
    <w:rsid w:val="00732275"/>
    <w:rsid w:val="00736A44"/>
    <w:rsid w:val="00740D40"/>
    <w:rsid w:val="00745E5E"/>
    <w:rsid w:val="00750857"/>
    <w:rsid w:val="00750AE6"/>
    <w:rsid w:val="00750DBE"/>
    <w:rsid w:val="00761B87"/>
    <w:rsid w:val="00763D0C"/>
    <w:rsid w:val="0076417C"/>
    <w:rsid w:val="00765586"/>
    <w:rsid w:val="00770818"/>
    <w:rsid w:val="00781C3C"/>
    <w:rsid w:val="007931DC"/>
    <w:rsid w:val="0079385C"/>
    <w:rsid w:val="00797CF1"/>
    <w:rsid w:val="007B1C7C"/>
    <w:rsid w:val="007B2220"/>
    <w:rsid w:val="007C3DFB"/>
    <w:rsid w:val="007C4F22"/>
    <w:rsid w:val="007D3877"/>
    <w:rsid w:val="007D3CAB"/>
    <w:rsid w:val="007D5779"/>
    <w:rsid w:val="007E044B"/>
    <w:rsid w:val="007E5F48"/>
    <w:rsid w:val="007F1B5C"/>
    <w:rsid w:val="007F235F"/>
    <w:rsid w:val="007F40B0"/>
    <w:rsid w:val="00802696"/>
    <w:rsid w:val="00804680"/>
    <w:rsid w:val="00805EA7"/>
    <w:rsid w:val="00811A0D"/>
    <w:rsid w:val="00812B8F"/>
    <w:rsid w:val="00820772"/>
    <w:rsid w:val="00825622"/>
    <w:rsid w:val="00842D64"/>
    <w:rsid w:val="00843AB3"/>
    <w:rsid w:val="00845763"/>
    <w:rsid w:val="00847BF5"/>
    <w:rsid w:val="00850853"/>
    <w:rsid w:val="00855ED7"/>
    <w:rsid w:val="008733BD"/>
    <w:rsid w:val="00880107"/>
    <w:rsid w:val="008960BA"/>
    <w:rsid w:val="00896996"/>
    <w:rsid w:val="00897858"/>
    <w:rsid w:val="008A1776"/>
    <w:rsid w:val="008A514E"/>
    <w:rsid w:val="008A6983"/>
    <w:rsid w:val="008C00B2"/>
    <w:rsid w:val="008C505A"/>
    <w:rsid w:val="008D433D"/>
    <w:rsid w:val="008D5343"/>
    <w:rsid w:val="008D62A3"/>
    <w:rsid w:val="008E438D"/>
    <w:rsid w:val="008F2573"/>
    <w:rsid w:val="009042FF"/>
    <w:rsid w:val="00905BB6"/>
    <w:rsid w:val="00920CF3"/>
    <w:rsid w:val="00921504"/>
    <w:rsid w:val="009306EC"/>
    <w:rsid w:val="00931655"/>
    <w:rsid w:val="00932B75"/>
    <w:rsid w:val="00936A69"/>
    <w:rsid w:val="0094606A"/>
    <w:rsid w:val="0095430F"/>
    <w:rsid w:val="00961F57"/>
    <w:rsid w:val="009645F4"/>
    <w:rsid w:val="00972971"/>
    <w:rsid w:val="00972C35"/>
    <w:rsid w:val="00976EC5"/>
    <w:rsid w:val="00985687"/>
    <w:rsid w:val="009952C3"/>
    <w:rsid w:val="009A0809"/>
    <w:rsid w:val="009A2276"/>
    <w:rsid w:val="009A2ED1"/>
    <w:rsid w:val="009A2EEE"/>
    <w:rsid w:val="009A31CC"/>
    <w:rsid w:val="009B08FA"/>
    <w:rsid w:val="009B0B29"/>
    <w:rsid w:val="009B13EE"/>
    <w:rsid w:val="009C1E28"/>
    <w:rsid w:val="009C3E73"/>
    <w:rsid w:val="009D1AF1"/>
    <w:rsid w:val="009D5477"/>
    <w:rsid w:val="009E1321"/>
    <w:rsid w:val="009E19D9"/>
    <w:rsid w:val="009E1B52"/>
    <w:rsid w:val="009E35CB"/>
    <w:rsid w:val="009E529E"/>
    <w:rsid w:val="009E748D"/>
    <w:rsid w:val="009F5D98"/>
    <w:rsid w:val="00A016D7"/>
    <w:rsid w:val="00A05369"/>
    <w:rsid w:val="00A0646B"/>
    <w:rsid w:val="00A1093F"/>
    <w:rsid w:val="00A21E18"/>
    <w:rsid w:val="00A22A43"/>
    <w:rsid w:val="00A32A1E"/>
    <w:rsid w:val="00A339D8"/>
    <w:rsid w:val="00A3549A"/>
    <w:rsid w:val="00A43202"/>
    <w:rsid w:val="00A445B6"/>
    <w:rsid w:val="00A5090A"/>
    <w:rsid w:val="00A66C07"/>
    <w:rsid w:val="00A84F1C"/>
    <w:rsid w:val="00A956F7"/>
    <w:rsid w:val="00A95C57"/>
    <w:rsid w:val="00AA0A02"/>
    <w:rsid w:val="00AB651F"/>
    <w:rsid w:val="00AC412C"/>
    <w:rsid w:val="00AC4B70"/>
    <w:rsid w:val="00AC58E5"/>
    <w:rsid w:val="00AC5ABF"/>
    <w:rsid w:val="00AD6416"/>
    <w:rsid w:val="00AD655E"/>
    <w:rsid w:val="00AF3A0E"/>
    <w:rsid w:val="00AF6DA6"/>
    <w:rsid w:val="00B012E8"/>
    <w:rsid w:val="00B11093"/>
    <w:rsid w:val="00B1728E"/>
    <w:rsid w:val="00B25B4A"/>
    <w:rsid w:val="00B31F6B"/>
    <w:rsid w:val="00B51499"/>
    <w:rsid w:val="00B51B55"/>
    <w:rsid w:val="00B551DE"/>
    <w:rsid w:val="00B56171"/>
    <w:rsid w:val="00B56DFE"/>
    <w:rsid w:val="00B65FA4"/>
    <w:rsid w:val="00B6641A"/>
    <w:rsid w:val="00B67F08"/>
    <w:rsid w:val="00B756ED"/>
    <w:rsid w:val="00B93620"/>
    <w:rsid w:val="00B945AF"/>
    <w:rsid w:val="00B94D9E"/>
    <w:rsid w:val="00BB1E2F"/>
    <w:rsid w:val="00BC5756"/>
    <w:rsid w:val="00BD5EAF"/>
    <w:rsid w:val="00BD79E7"/>
    <w:rsid w:val="00BE062B"/>
    <w:rsid w:val="00BE3DF3"/>
    <w:rsid w:val="00BE6134"/>
    <w:rsid w:val="00BE7630"/>
    <w:rsid w:val="00BF078C"/>
    <w:rsid w:val="00BF526D"/>
    <w:rsid w:val="00C0119F"/>
    <w:rsid w:val="00C17B19"/>
    <w:rsid w:val="00C23312"/>
    <w:rsid w:val="00C2715D"/>
    <w:rsid w:val="00C37CC2"/>
    <w:rsid w:val="00C430C1"/>
    <w:rsid w:val="00C4409F"/>
    <w:rsid w:val="00C44633"/>
    <w:rsid w:val="00C47B67"/>
    <w:rsid w:val="00C5051D"/>
    <w:rsid w:val="00C568DC"/>
    <w:rsid w:val="00C801CF"/>
    <w:rsid w:val="00C8153C"/>
    <w:rsid w:val="00C83F06"/>
    <w:rsid w:val="00C866A9"/>
    <w:rsid w:val="00C9246F"/>
    <w:rsid w:val="00C92C05"/>
    <w:rsid w:val="00C945F6"/>
    <w:rsid w:val="00C95068"/>
    <w:rsid w:val="00C952F1"/>
    <w:rsid w:val="00CA1EDB"/>
    <w:rsid w:val="00CA575D"/>
    <w:rsid w:val="00CA6779"/>
    <w:rsid w:val="00CA6C04"/>
    <w:rsid w:val="00CB0410"/>
    <w:rsid w:val="00CB1C3B"/>
    <w:rsid w:val="00CD4D90"/>
    <w:rsid w:val="00CD5D0B"/>
    <w:rsid w:val="00CE10A9"/>
    <w:rsid w:val="00CF0748"/>
    <w:rsid w:val="00CF107E"/>
    <w:rsid w:val="00D0060B"/>
    <w:rsid w:val="00D06218"/>
    <w:rsid w:val="00D1562E"/>
    <w:rsid w:val="00D20BB8"/>
    <w:rsid w:val="00D213D5"/>
    <w:rsid w:val="00D22D65"/>
    <w:rsid w:val="00D33076"/>
    <w:rsid w:val="00D35EC7"/>
    <w:rsid w:val="00D367A2"/>
    <w:rsid w:val="00D54A58"/>
    <w:rsid w:val="00D55FFB"/>
    <w:rsid w:val="00D56CCF"/>
    <w:rsid w:val="00D65243"/>
    <w:rsid w:val="00D66991"/>
    <w:rsid w:val="00D66A24"/>
    <w:rsid w:val="00D75D49"/>
    <w:rsid w:val="00D767CC"/>
    <w:rsid w:val="00D80CB7"/>
    <w:rsid w:val="00D94D4D"/>
    <w:rsid w:val="00D96646"/>
    <w:rsid w:val="00D96CBA"/>
    <w:rsid w:val="00D96E43"/>
    <w:rsid w:val="00D97F6A"/>
    <w:rsid w:val="00DB08D5"/>
    <w:rsid w:val="00DB702C"/>
    <w:rsid w:val="00DC07D8"/>
    <w:rsid w:val="00DD2E67"/>
    <w:rsid w:val="00DD60A8"/>
    <w:rsid w:val="00DD75B1"/>
    <w:rsid w:val="00DE0EB7"/>
    <w:rsid w:val="00DE4DF2"/>
    <w:rsid w:val="00DE7F35"/>
    <w:rsid w:val="00DF0EB0"/>
    <w:rsid w:val="00DF57C8"/>
    <w:rsid w:val="00E0075B"/>
    <w:rsid w:val="00E00FB4"/>
    <w:rsid w:val="00E11738"/>
    <w:rsid w:val="00E15CBA"/>
    <w:rsid w:val="00E3264B"/>
    <w:rsid w:val="00E33049"/>
    <w:rsid w:val="00E34047"/>
    <w:rsid w:val="00E35C9D"/>
    <w:rsid w:val="00E36243"/>
    <w:rsid w:val="00E42F13"/>
    <w:rsid w:val="00E43E7B"/>
    <w:rsid w:val="00E46B55"/>
    <w:rsid w:val="00E5129C"/>
    <w:rsid w:val="00E5243E"/>
    <w:rsid w:val="00E53BEE"/>
    <w:rsid w:val="00E56213"/>
    <w:rsid w:val="00E6452D"/>
    <w:rsid w:val="00E66B43"/>
    <w:rsid w:val="00E72E96"/>
    <w:rsid w:val="00E80125"/>
    <w:rsid w:val="00E806EF"/>
    <w:rsid w:val="00E841B5"/>
    <w:rsid w:val="00EA4B50"/>
    <w:rsid w:val="00EA6CBD"/>
    <w:rsid w:val="00EC171A"/>
    <w:rsid w:val="00EC4322"/>
    <w:rsid w:val="00ED667D"/>
    <w:rsid w:val="00EF065D"/>
    <w:rsid w:val="00EF1E7F"/>
    <w:rsid w:val="00EF7D2A"/>
    <w:rsid w:val="00F03F09"/>
    <w:rsid w:val="00F11B1F"/>
    <w:rsid w:val="00F13CBB"/>
    <w:rsid w:val="00F16607"/>
    <w:rsid w:val="00F16832"/>
    <w:rsid w:val="00F20215"/>
    <w:rsid w:val="00F21453"/>
    <w:rsid w:val="00F260E8"/>
    <w:rsid w:val="00F304FD"/>
    <w:rsid w:val="00F369ED"/>
    <w:rsid w:val="00F370CC"/>
    <w:rsid w:val="00F377A7"/>
    <w:rsid w:val="00F423DC"/>
    <w:rsid w:val="00F44531"/>
    <w:rsid w:val="00F46C39"/>
    <w:rsid w:val="00F47AEE"/>
    <w:rsid w:val="00F52312"/>
    <w:rsid w:val="00F637F0"/>
    <w:rsid w:val="00F80779"/>
    <w:rsid w:val="00F84D98"/>
    <w:rsid w:val="00F87085"/>
    <w:rsid w:val="00F916F7"/>
    <w:rsid w:val="00FA16D8"/>
    <w:rsid w:val="00FA2C9B"/>
    <w:rsid w:val="00FA4CBF"/>
    <w:rsid w:val="00FA55C5"/>
    <w:rsid w:val="00FA579B"/>
    <w:rsid w:val="00FA5D47"/>
    <w:rsid w:val="00FB0C16"/>
    <w:rsid w:val="00FC7442"/>
    <w:rsid w:val="00FD4C48"/>
    <w:rsid w:val="00FE4527"/>
    <w:rsid w:val="0283312D"/>
    <w:rsid w:val="0B8E5B5C"/>
    <w:rsid w:val="0CE916E4"/>
    <w:rsid w:val="11C44419"/>
    <w:rsid w:val="1C8905A0"/>
    <w:rsid w:val="2E1D6FFC"/>
    <w:rsid w:val="31DA0E2A"/>
    <w:rsid w:val="3C656005"/>
    <w:rsid w:val="4340207D"/>
    <w:rsid w:val="54255534"/>
    <w:rsid w:val="57EE718F"/>
    <w:rsid w:val="5CF241B7"/>
    <w:rsid w:val="6347CC09"/>
    <w:rsid w:val="6DB86103"/>
    <w:rsid w:val="6DEB6993"/>
    <w:rsid w:val="7AFFC5D4"/>
    <w:rsid w:val="7D485A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qFormat/>
    <w:uiPriority w:val="0"/>
    <w:pPr>
      <w:keepNext/>
      <w:keepLines/>
      <w:spacing w:before="340" w:after="330" w:line="578" w:lineRule="auto"/>
      <w:outlineLvl w:val="0"/>
    </w:pPr>
    <w:rPr>
      <w:b/>
      <w:bCs/>
      <w:kern w:val="44"/>
      <w:sz w:val="44"/>
      <w:szCs w:val="44"/>
    </w:rPr>
  </w:style>
  <w:style w:type="paragraph" w:styleId="3">
    <w:name w:val="heading 3"/>
    <w:basedOn w:val="1"/>
    <w:next w:val="1"/>
    <w:qFormat/>
    <w:uiPriority w:val="9"/>
    <w:pPr>
      <w:keepNext/>
      <w:keepLines/>
      <w:spacing w:before="0" w:after="0" w:line="408" w:lineRule="auto"/>
      <w:outlineLvl w:val="2"/>
    </w:pPr>
    <w:rPr>
      <w:b/>
      <w:bCs/>
      <w:color w:val="1A1A1A"/>
      <w:sz w:val="28"/>
      <w:szCs w:val="28"/>
    </w:rPr>
  </w:style>
  <w:style w:type="paragraph" w:styleId="4">
    <w:name w:val="heading 4"/>
    <w:basedOn w:val="1"/>
    <w:next w:val="1"/>
    <w:qFormat/>
    <w:uiPriority w:val="9"/>
    <w:pPr>
      <w:keepNext/>
      <w:keepLines/>
      <w:spacing w:before="0" w:after="0" w:line="408" w:lineRule="auto"/>
      <w:outlineLvl w:val="3"/>
    </w:pPr>
    <w:rPr>
      <w:b/>
      <w:bCs/>
      <w:color w:val="1A1A1A"/>
      <w:sz w:val="24"/>
      <w:szCs w:val="24"/>
    </w:rPr>
  </w:style>
  <w:style w:type="character" w:default="1" w:styleId="17">
    <w:name w:val="Default Paragraph Font"/>
    <w:semiHidden/>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5">
    <w:name w:val="Document Map"/>
    <w:basedOn w:val="1"/>
    <w:link w:val="22"/>
    <w:autoRedefine/>
    <w:qFormat/>
    <w:uiPriority w:val="0"/>
    <w:rPr>
      <w:rFonts w:ascii="宋体"/>
      <w:sz w:val="18"/>
      <w:szCs w:val="18"/>
      <w:lang w:val="zh-CN"/>
    </w:rPr>
  </w:style>
  <w:style w:type="paragraph" w:styleId="6">
    <w:name w:val="annotation text"/>
    <w:basedOn w:val="1"/>
    <w:link w:val="24"/>
    <w:autoRedefine/>
    <w:qFormat/>
    <w:uiPriority w:val="0"/>
    <w:pPr>
      <w:jc w:val="left"/>
    </w:pPr>
  </w:style>
  <w:style w:type="paragraph" w:styleId="7">
    <w:name w:val="Body Text"/>
    <w:basedOn w:val="1"/>
    <w:autoRedefine/>
    <w:qFormat/>
    <w:uiPriority w:val="0"/>
    <w:pPr>
      <w:widowControl/>
      <w:spacing w:before="100" w:beforeAutospacing="1" w:after="100" w:afterAutospacing="1"/>
      <w:jc w:val="left"/>
    </w:pPr>
    <w:rPr>
      <w:rFonts w:ascii="宋体" w:hAnsi="宋体" w:cs="宋体"/>
      <w:kern w:val="0"/>
      <w:sz w:val="24"/>
    </w:rPr>
  </w:style>
  <w:style w:type="paragraph" w:styleId="8">
    <w:name w:val="Body Text Indent"/>
    <w:basedOn w:val="1"/>
    <w:autoRedefine/>
    <w:qFormat/>
    <w:uiPriority w:val="0"/>
    <w:pPr>
      <w:widowControl/>
      <w:spacing w:before="100" w:beforeAutospacing="1" w:after="100" w:afterAutospacing="1"/>
      <w:jc w:val="left"/>
    </w:pPr>
    <w:rPr>
      <w:rFonts w:ascii="宋体" w:hAnsi="宋体" w:cs="宋体"/>
      <w:kern w:val="0"/>
      <w:sz w:val="24"/>
    </w:rPr>
  </w:style>
  <w:style w:type="paragraph" w:styleId="9">
    <w:name w:val="Date"/>
    <w:basedOn w:val="1"/>
    <w:autoRedefine/>
    <w:qFormat/>
    <w:uiPriority w:val="0"/>
    <w:pPr>
      <w:widowControl/>
      <w:spacing w:before="100" w:beforeAutospacing="1" w:after="100" w:afterAutospacing="1"/>
      <w:jc w:val="left"/>
    </w:pPr>
    <w:rPr>
      <w:rFonts w:ascii="宋体" w:hAnsi="宋体" w:cs="宋体"/>
      <w:kern w:val="0"/>
      <w:sz w:val="24"/>
    </w:rPr>
  </w:style>
  <w:style w:type="paragraph" w:styleId="10">
    <w:name w:val="Body Text Indent 2"/>
    <w:basedOn w:val="1"/>
    <w:autoRedefine/>
    <w:qFormat/>
    <w:uiPriority w:val="0"/>
    <w:pPr>
      <w:widowControl/>
      <w:spacing w:before="100" w:beforeAutospacing="1" w:after="100" w:afterAutospacing="1"/>
      <w:jc w:val="left"/>
    </w:pPr>
    <w:rPr>
      <w:rFonts w:ascii="宋体" w:hAnsi="宋体" w:cs="宋体"/>
      <w:kern w:val="0"/>
      <w:sz w:val="24"/>
    </w:rPr>
  </w:style>
  <w:style w:type="paragraph" w:styleId="11">
    <w:name w:val="Balloon Text"/>
    <w:basedOn w:val="1"/>
    <w:autoRedefine/>
    <w:semiHidden/>
    <w:qFormat/>
    <w:uiPriority w:val="0"/>
    <w:rPr>
      <w:sz w:val="18"/>
      <w:szCs w:val="18"/>
    </w:rPr>
  </w:style>
  <w:style w:type="paragraph" w:styleId="12">
    <w:name w:val="footer"/>
    <w:basedOn w:val="1"/>
    <w:link w:val="28"/>
    <w:autoRedefine/>
    <w:qFormat/>
    <w:uiPriority w:val="99"/>
    <w:pPr>
      <w:tabs>
        <w:tab w:val="center" w:pos="4153"/>
        <w:tab w:val="right" w:pos="8306"/>
      </w:tabs>
      <w:snapToGrid w:val="0"/>
      <w:jc w:val="left"/>
    </w:pPr>
    <w:rPr>
      <w:sz w:val="18"/>
      <w:szCs w:val="18"/>
      <w:lang w:val="zh-CN"/>
    </w:rPr>
  </w:style>
  <w:style w:type="paragraph" w:styleId="13">
    <w:name w:val="header"/>
    <w:basedOn w:val="1"/>
    <w:link w:val="29"/>
    <w:autoRedefine/>
    <w:qFormat/>
    <w:uiPriority w:val="0"/>
    <w:pPr>
      <w:pBdr>
        <w:bottom w:val="single" w:color="auto" w:sz="6" w:space="1"/>
      </w:pBdr>
      <w:tabs>
        <w:tab w:val="center" w:pos="4153"/>
        <w:tab w:val="right" w:pos="8306"/>
      </w:tabs>
      <w:snapToGrid w:val="0"/>
      <w:jc w:val="center"/>
    </w:pPr>
    <w:rPr>
      <w:sz w:val="18"/>
      <w:szCs w:val="18"/>
      <w:lang w:val="zh-CN"/>
    </w:rPr>
  </w:style>
  <w:style w:type="paragraph" w:styleId="14">
    <w:name w:val="footnote text"/>
    <w:basedOn w:val="1"/>
    <w:link w:val="32"/>
    <w:autoRedefine/>
    <w:semiHidden/>
    <w:qFormat/>
    <w:uiPriority w:val="0"/>
    <w:pPr>
      <w:snapToGrid w:val="0"/>
      <w:jc w:val="left"/>
    </w:pPr>
    <w:rPr>
      <w:sz w:val="18"/>
      <w:szCs w:val="18"/>
    </w:rPr>
  </w:style>
  <w:style w:type="paragraph" w:styleId="15">
    <w:name w:val="annotation subject"/>
    <w:basedOn w:val="6"/>
    <w:next w:val="6"/>
    <w:link w:val="23"/>
    <w:autoRedefine/>
    <w:semiHidden/>
    <w:unhideWhenUsed/>
    <w:qFormat/>
    <w:uiPriority w:val="0"/>
    <w:rPr>
      <w:b/>
      <w:bCs/>
    </w:rPr>
  </w:style>
  <w:style w:type="character" w:styleId="18">
    <w:name w:val="Strong"/>
    <w:autoRedefine/>
    <w:qFormat/>
    <w:uiPriority w:val="0"/>
    <w:rPr>
      <w:b/>
      <w:bCs/>
    </w:rPr>
  </w:style>
  <w:style w:type="character" w:styleId="19">
    <w:name w:val="Hyperlink"/>
    <w:autoRedefine/>
    <w:qFormat/>
    <w:uiPriority w:val="0"/>
    <w:rPr>
      <w:color w:val="000000"/>
      <w:sz w:val="15"/>
      <w:szCs w:val="15"/>
      <w:u w:val="none"/>
    </w:rPr>
  </w:style>
  <w:style w:type="character" w:styleId="20">
    <w:name w:val="annotation reference"/>
    <w:basedOn w:val="17"/>
    <w:autoRedefine/>
    <w:qFormat/>
    <w:uiPriority w:val="0"/>
    <w:rPr>
      <w:sz w:val="21"/>
      <w:szCs w:val="21"/>
    </w:rPr>
  </w:style>
  <w:style w:type="character" w:styleId="21">
    <w:name w:val="footnote reference"/>
    <w:autoRedefine/>
    <w:semiHidden/>
    <w:qFormat/>
    <w:uiPriority w:val="0"/>
    <w:rPr>
      <w:vertAlign w:val="superscript"/>
    </w:rPr>
  </w:style>
  <w:style w:type="character" w:customStyle="1" w:styleId="22">
    <w:name w:val="文档结构图 字符"/>
    <w:link w:val="5"/>
    <w:autoRedefine/>
    <w:qFormat/>
    <w:uiPriority w:val="0"/>
    <w:rPr>
      <w:rFonts w:ascii="宋体"/>
      <w:kern w:val="2"/>
      <w:sz w:val="18"/>
      <w:szCs w:val="18"/>
    </w:rPr>
  </w:style>
  <w:style w:type="character" w:customStyle="1" w:styleId="23">
    <w:name w:val="批注主题 字符"/>
    <w:basedOn w:val="24"/>
    <w:link w:val="15"/>
    <w:autoRedefine/>
    <w:semiHidden/>
    <w:qFormat/>
    <w:uiPriority w:val="0"/>
    <w:rPr>
      <w:b/>
      <w:bCs/>
      <w:kern w:val="2"/>
      <w:sz w:val="21"/>
      <w:szCs w:val="24"/>
    </w:rPr>
  </w:style>
  <w:style w:type="character" w:customStyle="1" w:styleId="24">
    <w:name w:val="批注文字 字符"/>
    <w:basedOn w:val="17"/>
    <w:link w:val="6"/>
    <w:autoRedefine/>
    <w:qFormat/>
    <w:uiPriority w:val="0"/>
    <w:rPr>
      <w:kern w:val="2"/>
      <w:sz w:val="21"/>
      <w:szCs w:val="24"/>
    </w:rPr>
  </w:style>
  <w:style w:type="paragraph" w:customStyle="1" w:styleId="25">
    <w:name w:val="a0"/>
    <w:basedOn w:val="1"/>
    <w:autoRedefine/>
    <w:qFormat/>
    <w:uiPriority w:val="0"/>
    <w:pPr>
      <w:widowControl/>
      <w:spacing w:before="100" w:beforeAutospacing="1" w:after="100" w:afterAutospacing="1"/>
      <w:jc w:val="left"/>
    </w:pPr>
    <w:rPr>
      <w:rFonts w:ascii="宋体" w:hAnsi="宋体" w:cs="宋体"/>
      <w:kern w:val="0"/>
      <w:sz w:val="24"/>
    </w:rPr>
  </w:style>
  <w:style w:type="character" w:customStyle="1" w:styleId="26">
    <w:name w:val="标题 1 字符"/>
    <w:basedOn w:val="17"/>
    <w:link w:val="2"/>
    <w:qFormat/>
    <w:uiPriority w:val="0"/>
    <w:rPr>
      <w:b/>
      <w:bCs/>
      <w:kern w:val="44"/>
      <w:sz w:val="44"/>
      <w:szCs w:val="44"/>
    </w:rPr>
  </w:style>
  <w:style w:type="character" w:customStyle="1" w:styleId="27">
    <w:name w:val="未处理的提及1"/>
    <w:basedOn w:val="17"/>
    <w:autoRedefine/>
    <w:semiHidden/>
    <w:unhideWhenUsed/>
    <w:qFormat/>
    <w:uiPriority w:val="99"/>
    <w:rPr>
      <w:color w:val="605E5C"/>
      <w:shd w:val="clear" w:color="auto" w:fill="E1DFDD"/>
    </w:rPr>
  </w:style>
  <w:style w:type="character" w:customStyle="1" w:styleId="28">
    <w:name w:val="页脚 字符"/>
    <w:link w:val="12"/>
    <w:autoRedefine/>
    <w:qFormat/>
    <w:uiPriority w:val="99"/>
    <w:rPr>
      <w:kern w:val="2"/>
      <w:sz w:val="18"/>
      <w:szCs w:val="18"/>
    </w:rPr>
  </w:style>
  <w:style w:type="character" w:customStyle="1" w:styleId="29">
    <w:name w:val="页眉 字符"/>
    <w:link w:val="13"/>
    <w:autoRedefine/>
    <w:qFormat/>
    <w:uiPriority w:val="0"/>
    <w:rPr>
      <w:kern w:val="2"/>
      <w:sz w:val="18"/>
      <w:szCs w:val="18"/>
    </w:rPr>
  </w:style>
  <w:style w:type="paragraph" w:customStyle="1" w:styleId="30">
    <w:name w:val="公文标题"/>
    <w:basedOn w:val="1"/>
    <w:next w:val="1"/>
    <w:autoRedefine/>
    <w:qFormat/>
    <w:uiPriority w:val="0"/>
    <w:pPr>
      <w:spacing w:after="156" w:afterLines="50"/>
      <w:jc w:val="center"/>
      <w:outlineLvl w:val="0"/>
    </w:pPr>
    <w:rPr>
      <w:rFonts w:ascii="仿宋_GB2312" w:eastAsia="仿宋_GB2312"/>
      <w:b/>
      <w:sz w:val="32"/>
      <w:szCs w:val="20"/>
    </w:rPr>
  </w:style>
  <w:style w:type="paragraph" w:customStyle="1" w:styleId="31">
    <w:name w:val="修订1"/>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32">
    <w:name w:val="脚注文本 字符"/>
    <w:basedOn w:val="17"/>
    <w:link w:val="14"/>
    <w:semiHidden/>
    <w:qFormat/>
    <w:uiPriority w:val="0"/>
    <w:rPr>
      <w:kern w:val="2"/>
      <w:sz w:val="18"/>
      <w:szCs w:val="18"/>
    </w:rPr>
  </w:style>
  <w:style w:type="character" w:customStyle="1" w:styleId="33">
    <w:name w:val="未处理的提及2"/>
    <w:basedOn w:val="17"/>
    <w:semiHidden/>
    <w:unhideWhenUsed/>
    <w:qFormat/>
    <w:uiPriority w:val="99"/>
    <w:rPr>
      <w:color w:val="605E5C"/>
      <w:shd w:val="clear" w:color="auto" w:fill="E1DFDD"/>
    </w:rPr>
  </w:style>
  <w:style w:type="paragraph" w:customStyle="1" w:styleId="34">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Office_7.3.1.8967_F1E327BC-269C-435d-A152-05C5408002CA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2026-08-09T18:11:00Z</dcterms:created>
  <dc:creator>Data</dc:creator>
  <cp:lastModifiedBy>杜晋华(2022310811)</cp:lastModifiedBy>
  <dcterms:modified xsi:type="dcterms:W3CDTF">2026-08-10T11:37:59Z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0D8E5466DAC5F9129747796AC6B7D8CD_42</vt:lpwstr>
  </property>
</Properties>
</file>