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8082D">
      <w:pPr>
        <w:spacing w:before="156" w:after="156" w:line="300" w:lineRule="auto"/>
        <w:jc w:val="center"/>
        <w:rPr>
          <w:rFonts w:eastAsia="黑体"/>
          <w:bCs/>
          <w:kern w:val="0"/>
          <w:sz w:val="32"/>
          <w:szCs w:val="32"/>
        </w:rPr>
      </w:pPr>
      <w:r>
        <w:rPr>
          <w:rFonts w:ascii="Times New Roman" w:hAnsi="Times New Roman" w:eastAsia="黑体" w:cs="Times New Roman"/>
          <w:kern w:val="0"/>
          <w:sz w:val="32"/>
          <w:szCs w:val="32"/>
        </w:rPr>
        <w:t>党建引领协同育人推进研究生培养提质增效</w:t>
      </w:r>
    </w:p>
    <w:p w14:paraId="5F291311">
      <w:pPr>
        <w:spacing w:before="156" w:after="156" w:line="300" w:lineRule="auto"/>
        <w:jc w:val="center"/>
        <w:rPr>
          <w:rFonts w:eastAsia="楷体_GB2312" w:cs="宋体"/>
          <w:kern w:val="0"/>
          <w:sz w:val="24"/>
          <w:szCs w:val="20"/>
        </w:rPr>
      </w:pPr>
      <w:r>
        <w:rPr>
          <w:rFonts w:ascii="Times New Roman" w:hAnsi="Times New Roman" w:eastAsia="楷体_GB2312" w:cs="宋体"/>
          <w:kern w:val="0"/>
          <w:sz w:val="24"/>
          <w:szCs w:val="20"/>
        </w:rPr>
        <w:t>作者</w:t>
      </w:r>
    </w:p>
    <w:p w14:paraId="45CD6E82">
      <w:pPr>
        <w:spacing w:before="156" w:after="156" w:line="300" w:lineRule="auto"/>
        <w:jc w:val="center"/>
        <w:rPr>
          <w:rFonts w:eastAsia="楷体_GB2312"/>
        </w:rPr>
      </w:pPr>
      <w:r>
        <w:rPr>
          <w:rFonts w:ascii="Times New Roman" w:hAnsi="Times New Roman" w:eastAsia="楷体_GB2312" w:cs="Times New Roman"/>
          <w:kern w:val="0"/>
          <w:sz w:val="24"/>
          <w:szCs w:val="20"/>
        </w:rPr>
        <w:t>清华大学计算机科学与技术系</w:t>
      </w:r>
    </w:p>
    <w:p w14:paraId="0EFFA1C7">
      <w:pPr>
        <w:spacing w:before="156" w:after="156" w:line="300" w:lineRule="auto"/>
        <w:ind w:firstLine="480"/>
        <w:jc w:val="both"/>
        <w:rPr>
          <w:b/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  <w:szCs w:val="20"/>
        </w:rPr>
        <w:t>摘要：（孙豪）</w:t>
      </w:r>
    </w:p>
    <w:p w14:paraId="75154A50">
      <w:pPr>
        <w:spacing w:before="156" w:after="156" w:line="300" w:lineRule="auto"/>
        <w:ind w:firstLine="480"/>
        <w:jc w:val="both"/>
        <w:rPr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kern w:val="0"/>
          <w:sz w:val="24"/>
          <w:szCs w:val="20"/>
        </w:rPr>
        <w:t>清华大学计算机科学与技术系</w:t>
      </w:r>
    </w:p>
    <w:p w14:paraId="3D441D5C">
      <w:pPr>
        <w:spacing w:before="156" w:after="156" w:line="300" w:lineRule="auto"/>
        <w:ind w:firstLine="480"/>
        <w:jc w:val="both"/>
        <w:rPr>
          <w:b/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  <w:szCs w:val="20"/>
        </w:rPr>
        <w:t>关键词：（孙豪）</w:t>
      </w:r>
    </w:p>
    <w:p w14:paraId="4CD0DE24">
      <w:pPr>
        <w:spacing w:before="156" w:after="156" w:line="300" w:lineRule="auto"/>
        <w:ind w:firstLine="480"/>
        <w:jc w:val="both"/>
        <w:rPr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kern w:val="0"/>
          <w:sz w:val="24"/>
          <w:szCs w:val="20"/>
        </w:rPr>
        <w:t>纵向</w:t>
      </w:r>
    </w:p>
    <w:p w14:paraId="03E6E752">
      <w:pPr>
        <w:spacing w:before="156" w:after="156" w:line="300" w:lineRule="auto"/>
        <w:ind w:firstLine="480"/>
        <w:jc w:val="both"/>
        <w:rPr>
          <w:kern w:val="0"/>
          <w:sz w:val="24"/>
          <w:szCs w:val="20"/>
        </w:rPr>
      </w:pPr>
    </w:p>
    <w:p w14:paraId="4C44D8E7">
      <w:pPr>
        <w:spacing w:line="300" w:lineRule="auto"/>
        <w:jc w:val="both"/>
        <w:rPr>
          <w:b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一、引言（孙豪）</w:t>
      </w:r>
    </w:p>
    <w:p w14:paraId="084204E4">
      <w:pPr>
        <w:ind w:firstLine="420"/>
        <w:jc w:val="both"/>
        <w:rPr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kern w:val="0"/>
          <w:sz w:val="24"/>
          <w:szCs w:val="20"/>
        </w:rPr>
        <w:t>清华大学计算机科学与技术系研究生</w:t>
      </w:r>
    </w:p>
    <w:p w14:paraId="67C252AD">
      <w:pPr>
        <w:spacing w:line="300" w:lineRule="auto"/>
        <w:jc w:val="both"/>
        <w:rPr>
          <w:b/>
          <w:kern w:val="0"/>
          <w:sz w:val="28"/>
          <w:szCs w:val="28"/>
        </w:rPr>
      </w:pPr>
    </w:p>
    <w:p w14:paraId="398E34A9">
      <w:pPr>
        <w:pageBreakBefore/>
        <w:widowControl/>
        <w:jc w:val="left"/>
        <w:rPr>
          <w:b/>
          <w:kern w:val="0"/>
          <w:sz w:val="28"/>
          <w:szCs w:val="28"/>
        </w:rPr>
      </w:pPr>
    </w:p>
    <w:p w14:paraId="24EAAB5D">
      <w:pPr>
        <w:spacing w:line="300" w:lineRule="auto"/>
        <w:jc w:val="both"/>
        <w:rPr>
          <w:b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二、扎根社会服务：以党建引领实践育人，把专业所长转化为服务实效（黄越）</w:t>
      </w:r>
    </w:p>
    <w:p w14:paraId="57E79517">
      <w:pPr>
        <w:spacing w:line="300" w:lineRule="auto"/>
        <w:jc w:val="both"/>
        <w:rPr>
          <w:rFonts w:ascii="楷体" w:hAnsi="楷体" w:eastAsia="楷体"/>
          <w:kern w:val="0"/>
          <w:sz w:val="24"/>
          <w:szCs w:val="20"/>
        </w:rPr>
      </w:pPr>
      <w:r>
        <w:rPr>
          <w:rFonts w:ascii="楷体" w:hAnsi="楷体" w:eastAsia="楷体" w:cs="Times New Roman"/>
          <w:kern w:val="0"/>
          <w:sz w:val="24"/>
          <w:szCs w:val="20"/>
        </w:rPr>
        <w:t>对应支部：计研二三</w:t>
      </w:r>
    </w:p>
    <w:p w14:paraId="6A4F79A1">
      <w:pPr>
        <w:spacing w:line="300" w:lineRule="auto"/>
        <w:jc w:val="both"/>
        <w:rPr>
          <w:rFonts w:ascii="楷体" w:hAnsi="楷体" w:eastAsia="楷体"/>
          <w:kern w:val="0"/>
          <w:sz w:val="24"/>
          <w:szCs w:val="20"/>
        </w:rPr>
      </w:pPr>
      <w:r>
        <w:rPr>
          <w:rFonts w:ascii="楷体" w:hAnsi="楷体" w:eastAsia="楷体" w:cs="Times New Roman"/>
          <w:kern w:val="0"/>
          <w:sz w:val="24"/>
          <w:szCs w:val="20"/>
        </w:rPr>
        <w:t>核心案例：江西社会实践活动</w:t>
      </w:r>
    </w:p>
    <w:p w14:paraId="48D401B4">
      <w:pPr>
        <w:spacing w:line="300" w:lineRule="auto"/>
        <w:jc w:val="both"/>
        <w:rPr>
          <w:rFonts w:ascii="楷体" w:hAnsi="楷体" w:eastAsia="楷体"/>
          <w:kern w:val="0"/>
          <w:sz w:val="24"/>
          <w:szCs w:val="20"/>
        </w:rPr>
      </w:pPr>
      <w:r>
        <w:rPr>
          <w:rFonts w:ascii="楷体" w:hAnsi="楷体" w:eastAsia="楷体" w:cs="Times New Roman"/>
          <w:kern w:val="0"/>
          <w:sz w:val="24"/>
          <w:szCs w:val="20"/>
        </w:rPr>
        <w:t>参考方向：去年计研四四“家国计”实践，但今年重点不要写就业引导，而是写“社会服务贡献”。</w:t>
      </w:r>
    </w:p>
    <w:p w14:paraId="59BCD391">
      <w:pPr>
        <w:spacing w:line="300" w:lineRule="auto"/>
        <w:jc w:val="both"/>
        <w:rPr>
          <w:b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2.1 立足地方需求与专业优势，构建实践育人机制</w:t>
      </w:r>
    </w:p>
    <w:p w14:paraId="5CA06295">
      <w:pPr>
        <w:spacing w:line="300" w:lineRule="auto"/>
        <w:jc w:val="both"/>
        <w:rPr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kern w:val="0"/>
          <w:sz w:val="24"/>
          <w:szCs w:val="20"/>
        </w:rPr>
        <w:t>重点写：研究生党支部如何走出校园、深入基层，把理论学习、专业能力和社会需求结合起来；强调从“参观式实践”转向“贡献式实践”。</w:t>
      </w:r>
    </w:p>
    <w:p w14:paraId="49B6BDBF">
      <w:pPr>
        <w:spacing w:line="300" w:lineRule="auto"/>
        <w:jc w:val="both"/>
        <w:rPr>
          <w:b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2.2 工作案例：计研二三党支部赴江西实践的组织模式与服务成效</w:t>
      </w:r>
    </w:p>
    <w:p w14:paraId="0551B46C">
      <w:pPr>
        <w:spacing w:line="300" w:lineRule="auto"/>
        <w:jc w:val="both"/>
        <w:rPr>
          <w:kern w:val="0"/>
          <w:sz w:val="24"/>
          <w:szCs w:val="20"/>
        </w:rPr>
      </w:pPr>
      <w:bookmarkStart w:id="0" w:name="OLE_LINK72"/>
      <w:r>
        <w:rPr>
          <w:rFonts w:ascii="Times New Roman" w:hAnsi="Times New Roman" w:eastAsia="宋体" w:cs="Times New Roman"/>
          <w:kern w:val="0"/>
          <w:sz w:val="24"/>
          <w:szCs w:val="20"/>
        </w:rPr>
        <w:t>重点写：江西实践去了哪里、解决了什么问题、服务了哪些对象、形成了什么成果。可以突出“红色教育+社会调研+专业服务+成果反馈”的闭环。</w:t>
      </w:r>
      <w:bookmarkEnd w:id="0"/>
    </w:p>
    <w:p w14:paraId="1EF646A5">
      <w:pPr>
        <w:spacing w:line="300" w:lineRule="auto"/>
        <w:jc w:val="center"/>
        <w:rPr>
          <w:rFonts w:ascii="方正仿宋_GBK" w:hAnsi="方正仿宋_GBK" w:eastAsia="方正仿宋_GBK" w:cs="方正仿宋_GBK"/>
          <w:b/>
          <w:bCs/>
          <w:color w:val="000000"/>
          <w:sz w:val="18"/>
        </w:rPr>
      </w:pPr>
      <w:r>
        <w:rPr>
          <w:rFonts w:ascii="方正仿宋_GBK" w:hAnsi="方正仿宋_GBK" w:eastAsia="方正仿宋_GBK" w:cs="方正仿宋_GBK"/>
          <w:b/>
          <w:bCs/>
          <w:color w:val="000000"/>
          <w:kern w:val="2"/>
          <w:sz w:val="18"/>
          <w:szCs w:val="24"/>
        </w:rPr>
        <w:t xml:space="preserve">图一 </w:t>
      </w:r>
    </w:p>
    <w:p w14:paraId="2EBA3CCD">
      <w:pPr>
        <w:spacing w:line="300" w:lineRule="auto"/>
        <w:jc w:val="center"/>
        <w:rPr>
          <w:b/>
          <w:kern w:val="0"/>
          <w:sz w:val="28"/>
          <w:szCs w:val="28"/>
        </w:rPr>
      </w:pPr>
    </w:p>
    <w:p w14:paraId="17CA6938">
      <w:pPr>
        <w:pageBreakBefore/>
        <w:widowControl/>
        <w:jc w:val="left"/>
        <w:rPr>
          <w:b/>
          <w:kern w:val="0"/>
          <w:sz w:val="28"/>
          <w:szCs w:val="28"/>
        </w:rPr>
      </w:pPr>
    </w:p>
    <w:p w14:paraId="6B62602F">
      <w:pPr>
        <w:spacing w:line="300" w:lineRule="auto"/>
        <w:jc w:val="both"/>
        <w:rPr>
          <w:b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三、深化师生共建：以课题组共同体建设推动研究生党建提质增效（李伶）</w:t>
      </w:r>
    </w:p>
    <w:p w14:paraId="107600CE">
      <w:pPr>
        <w:spacing w:line="300" w:lineRule="auto"/>
        <w:jc w:val="both"/>
        <w:rPr>
          <w:rFonts w:ascii="楷体" w:hAnsi="楷体" w:eastAsia="楷体"/>
          <w:kern w:val="0"/>
          <w:sz w:val="24"/>
          <w:szCs w:val="20"/>
        </w:rPr>
      </w:pPr>
      <w:r>
        <w:rPr>
          <w:rFonts w:ascii="楷体" w:hAnsi="楷体" w:eastAsia="楷体" w:cs="Times New Roman"/>
          <w:kern w:val="0"/>
          <w:sz w:val="24"/>
          <w:szCs w:val="20"/>
        </w:rPr>
        <w:t>对应支部：计研四三</w:t>
      </w:r>
    </w:p>
    <w:p w14:paraId="1A099FF4">
      <w:pPr>
        <w:spacing w:line="300" w:lineRule="auto"/>
        <w:jc w:val="both"/>
        <w:rPr>
          <w:rFonts w:ascii="楷体" w:hAnsi="楷体" w:eastAsia="楷体"/>
          <w:kern w:val="0"/>
          <w:sz w:val="24"/>
          <w:szCs w:val="20"/>
        </w:rPr>
      </w:pPr>
      <w:r>
        <w:rPr>
          <w:rFonts w:ascii="楷体" w:hAnsi="楷体" w:eastAsia="楷体" w:cs="Times New Roman"/>
          <w:kern w:val="0"/>
          <w:sz w:val="24"/>
          <w:szCs w:val="20"/>
        </w:rPr>
        <w:t>核心案例：毕业生师生共建主题党团日、雁行师生共建、教师讲党课</w:t>
      </w:r>
    </w:p>
    <w:p w14:paraId="21D3504B">
      <w:pPr>
        <w:spacing w:line="300" w:lineRule="auto"/>
        <w:jc w:val="both"/>
        <w:rPr>
          <w:rFonts w:ascii="楷体" w:hAnsi="楷体" w:eastAsia="楷体"/>
          <w:kern w:val="0"/>
          <w:sz w:val="24"/>
          <w:szCs w:val="20"/>
        </w:rPr>
      </w:pPr>
      <w:r>
        <w:rPr>
          <w:rFonts w:ascii="楷体" w:hAnsi="楷体" w:eastAsia="楷体" w:cs="Times New Roman"/>
          <w:kern w:val="0"/>
          <w:sz w:val="24"/>
          <w:szCs w:val="20"/>
        </w:rPr>
        <w:t>参考方向：去年计研二一，但今年重点放在“师生共建”和“课题组建设”。</w:t>
      </w:r>
    </w:p>
    <w:p w14:paraId="3810EDFA">
      <w:pPr>
        <w:spacing w:line="300" w:lineRule="auto"/>
        <w:jc w:val="both"/>
        <w:rPr>
          <w:b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3.1 依托课题组纵向结构，构建支部建设模式</w:t>
      </w:r>
    </w:p>
    <w:p w14:paraId="2AE301DF">
      <w:pPr>
        <w:spacing w:line="300" w:lineRule="auto"/>
        <w:jc w:val="both"/>
        <w:rPr>
          <w:rFonts w:ascii="宋体" w:hAnsi="宋体" w:cs="宋体"/>
          <w:color w:val="000000"/>
          <w:sz w:val="24"/>
        </w:rPr>
      </w:pPr>
      <w:r>
        <w:rPr>
          <w:rFonts w:ascii="宋体" w:hAnsi="宋体" w:eastAsia="宋体" w:cs="宋体"/>
          <w:color w:val="000000"/>
          <w:kern w:val="2"/>
          <w:sz w:val="24"/>
          <w:szCs w:val="24"/>
        </w:rPr>
        <w:t>重点写：纵向支部天然依托课题组，导师、青年教师、高年级学生、低年级学生之间形成稳定互动。党建不是额外任务，而是嵌入科研共同体和成长共同体。</w:t>
      </w:r>
    </w:p>
    <w:p w14:paraId="25DD88EC">
      <w:pPr>
        <w:spacing w:line="300" w:lineRule="auto"/>
        <w:jc w:val="both"/>
        <w:rPr>
          <w:rFonts w:ascii="宋体" w:hAnsi="宋体" w:cs="宋体"/>
          <w:color w:val="000000"/>
          <w:sz w:val="24"/>
        </w:rPr>
      </w:pPr>
    </w:p>
    <w:p w14:paraId="6CC164AB">
      <w:pPr>
        <w:spacing w:line="300" w:lineRule="auto"/>
        <w:jc w:val="both"/>
        <w:rPr>
          <w:rFonts w:ascii="宋体" w:hAnsi="宋体" w:cs="宋体"/>
          <w:color w:val="000000"/>
          <w:sz w:val="24"/>
        </w:rPr>
      </w:pPr>
      <w:r>
        <w:rPr>
          <w:rFonts w:ascii="宋体" w:hAnsi="宋体" w:eastAsia="宋体" w:cs="宋体"/>
          <w:color w:val="000000"/>
          <w:kern w:val="2"/>
          <w:sz w:val="24"/>
          <w:szCs w:val="24"/>
        </w:rPr>
        <w:t>习近平总书记在全国教育大会上强调，要"坚持把立德树人作为根本任务"，把思想政治工作贯穿人才培养全过程。研究生阶段的培养以课题组为基本单元展开，导师与学生、高年级与低年级之间围绕科研任务形成了天然的、高频次的互动关系。纵向党支部以课题组归属为组织基础，其最鲜明的优势在于：党的组织建设不是叠加在科研生活之外的"额外任务"，而是内嵌于研究生日常所处的学术共同体与成长共同体之中，与科研训练、学术传承、职业发展同频共振、互为支撑。</w:t>
      </w:r>
    </w:p>
    <w:p w14:paraId="679FF5BD">
      <w:pPr>
        <w:spacing w:line="300" w:lineRule="auto"/>
        <w:jc w:val="both"/>
        <w:rPr>
          <w:rFonts w:ascii="宋体" w:hAnsi="宋体" w:cs="宋体"/>
          <w:color w:val="000000"/>
          <w:sz w:val="24"/>
        </w:rPr>
      </w:pPr>
    </w:p>
    <w:p w14:paraId="73E06B1B">
      <w:pPr>
        <w:spacing w:line="300" w:lineRule="auto"/>
        <w:jc w:val="both"/>
        <w:rPr>
          <w:rFonts w:ascii="宋体" w:hAnsi="宋体" w:cs="宋体"/>
          <w:color w:val="000000"/>
          <w:sz w:val="24"/>
        </w:rPr>
      </w:pPr>
      <w:r>
        <w:rPr>
          <w:rFonts w:ascii="宋体" w:hAnsi="宋体" w:eastAsia="宋体" w:cs="宋体"/>
          <w:color w:val="000000"/>
          <w:kern w:val="2"/>
          <w:sz w:val="24"/>
          <w:szCs w:val="24"/>
        </w:rPr>
        <w:t>在这一组织形态下，党建育人呈现出三重内生逻辑。其一，价值引领依托师生信任关系自然发生。纵向支部中的教师党员既是学术导师，也是思想引路人，导学关系为思想引领提供了最坚实的信任基础，"导学思政"由此从理念转化为日常。其二，朋辈传承依托科研梯队自然延续。同一支部内高年级党员在科研方法、学业规划、就业选择上对低年级同学的"传帮带"，与其在思想上的示范带动融为一体，实现"一代人影响一代人"。其三，实践育人依托专业方向自然对接。支部成员研究方向相近，便于围绕共同的学科关切组织社会实践与行业调研，将"把论文写在祖国大地上"落到实处。因此，充分激活课题组共同体的天然纽带，推动党建工作从"组织覆盖"走向"功能融合"，是纵向学生党支部提升组织力、引领力的关键路径。</w:t>
      </w:r>
    </w:p>
    <w:p w14:paraId="36352B00">
      <w:pPr>
        <w:spacing w:line="300" w:lineRule="auto"/>
        <w:jc w:val="both"/>
        <w:rPr>
          <w:rFonts w:ascii="宋体" w:hAnsi="宋体" w:cs="宋体"/>
          <w:color w:val="000000"/>
          <w:sz w:val="24"/>
        </w:rPr>
      </w:pPr>
    </w:p>
    <w:p w14:paraId="5AE60919">
      <w:pPr>
        <w:spacing w:line="300" w:lineRule="auto"/>
        <w:jc w:val="both"/>
        <w:rPr>
          <w:rFonts w:ascii="宋体" w:hAnsi="宋体" w:cs="宋体"/>
          <w:color w:val="000000"/>
          <w:sz w:val="24"/>
        </w:rPr>
      </w:pPr>
    </w:p>
    <w:p w14:paraId="4AD7FD54">
      <w:pPr>
        <w:spacing w:line="300" w:lineRule="auto"/>
        <w:jc w:val="both"/>
        <w:rPr>
          <w:b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3.2 工作案例：计研四三党支部师生共建活动的组织实践</w:t>
      </w:r>
    </w:p>
    <w:p w14:paraId="3F49B259">
      <w:pPr>
        <w:spacing w:line="300" w:lineRule="auto"/>
        <w:ind w:firstLine="480"/>
        <w:jc w:val="both"/>
        <w:rPr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kern w:val="0"/>
          <w:sz w:val="24"/>
          <w:szCs w:val="20"/>
        </w:rPr>
        <w:t>重点写：毕业生主题党团日如何促进传承，雁行师生共建如何拓展支部资源，教师讲党课如何强化价值引领。最后落到“通过师生共建增强支部凝聚力、课题组归属感和科研报国意识”。</w:t>
      </w:r>
    </w:p>
    <w:p w14:paraId="75F83C58">
      <w:pPr>
        <w:spacing w:line="300" w:lineRule="auto"/>
        <w:ind w:firstLine="480"/>
        <w:jc w:val="both"/>
        <w:rPr>
          <w:kern w:val="0"/>
          <w:sz w:val="24"/>
          <w:szCs w:val="20"/>
        </w:rPr>
      </w:pPr>
    </w:p>
    <w:p w14:paraId="5937450A">
      <w:pPr>
        <w:pStyle w:val="15"/>
        <w:keepNext w:val="0"/>
        <w:keepLines w:val="0"/>
        <w:widowControl/>
        <w:suppressLineNumbers w:val="0"/>
        <w:jc w:val="left"/>
      </w:pPr>
      <w:r>
        <w:rPr>
          <w:rFonts w:ascii="Times New Roman" w:hAnsi="Times New Roman" w:eastAsia="宋体" w:cs="Times New Roman"/>
          <w:color w:val="000000"/>
          <w:kern w:val="0"/>
          <w:sz w:val="24"/>
          <w:szCs w:val="24"/>
        </w:rPr>
        <w:t>计研四三党支部为计算机系人工智能研究所的纵向学生党支部，成员纵贯博士、硕士各年级，研究方向覆盖大模型、具身智能等人工智能前沿领域。支部紧密依托人智所师生共同体，联合人智所教工党支部，围绕"传承、引领、拓展"三条主线开展工作，将党建深度融入研究生科研成长全过程。</w:t>
      </w:r>
    </w:p>
    <w:p w14:paraId="6ADC9907">
      <w:pPr>
        <w:pStyle w:val="15"/>
        <w:keepNext w:val="0"/>
        <w:keepLines w:val="0"/>
        <w:widowControl/>
        <w:suppressLineNumbers w:val="0"/>
        <w:jc w:val="left"/>
      </w:pPr>
      <w:r>
        <w:rPr>
          <w:rFonts w:ascii="Times New Roman" w:hAnsi="Times New Roman" w:eastAsia="宋体" w:cs="Times New Roman"/>
          <w:color w:val="000000"/>
          <w:kern w:val="0"/>
          <w:sz w:val="24"/>
          <w:szCs w:val="24"/>
        </w:rPr>
        <w:t>在朋辈传承上，支部以毕业季为契机，联合人智所教工党支部举办"纵向联学聚合力，师生共建启新程"毕业生主题党日活动。活动以"奋斗百年路，启航新征程"为主线，在自强科技楼举行，覆盖人智所五个学生党支部全体党员及教师党员代表。韩文弢老师结合建党105周年与清华党组织百年奋斗历程进行主题领学，引导师生党员重温党的光辉历程；毕业生党员代表围绕科研训练、课程学习、就业升学、服务集体等方面分享成长经历，为中低年级同学传经验、解疑惑；圆桌交流环节中，师生党员围绕计算机学科发展、拔尖创新人才培养、反内卷与健康成长等话题坦诚交流，毕业生党员重温入党初心，形成了结对帮扶共识；苏航老师作总结发言，勉励师生党员在强国建设、民族复兴新征程中挺膺担当。活动将毕业离校这一节点转化为支部精神传承的重要载体，使"传帮带"文化在纵向支部中代际赓续。</w:t>
      </w:r>
    </w:p>
    <w:p w14:paraId="3604ABFF">
      <w:pPr>
        <w:pStyle w:val="15"/>
        <w:keepNext w:val="0"/>
        <w:keepLines w:val="0"/>
        <w:widowControl/>
        <w:suppressLineNumbers w:val="0"/>
        <w:jc w:val="left"/>
        <w:rPr>
          <w:color w:val="000000"/>
        </w:rPr>
      </w:pPr>
      <w:r>
        <w:rPr>
          <w:rFonts w:ascii="Times New Roman" w:hAnsi="Times New Roman" w:eastAsia="宋体" w:cs="Times New Roman"/>
          <w:color w:val="000000"/>
          <w:kern w:val="0"/>
          <w:sz w:val="24"/>
          <w:szCs w:val="24"/>
        </w:rPr>
        <w:t>在价值引领上，支部充分发挥教师党员的思想引领作用，邀请邓俊晖老师为支部同学讲授以"清华党组织的优良传统"为主题的专题党课。党课历时两小时，系统梳理了清华园中党组织发展的历史脉络与红色基因，引导同学们从校史党史中汲取精神力量，深刻理解"又红又专"培养传统的时代内涵，进一步坚定了听党话、跟党走的思想自觉。</w:t>
      </w:r>
    </w:p>
    <w:p w14:paraId="09428610">
      <w:pPr>
        <w:pStyle w:val="15"/>
        <w:keepNext w:val="0"/>
        <w:keepLines w:val="0"/>
        <w:widowControl/>
        <w:suppressLineNumbers w:val="0"/>
        <w:jc w:val="left"/>
        <w:rPr>
          <w:rFonts w:eastAsia="宋体"/>
          <w:color w:val="000000"/>
        </w:rPr>
      </w:pPr>
      <w:r>
        <w:drawing>
          <wp:inline distT="0" distB="0" distL="114300" distR="114300">
            <wp:extent cx="5267325" cy="3943350"/>
            <wp:effectExtent l="0" t="0" r="9525" b="1905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Picture 100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5C69">
      <w:pPr>
        <w:pStyle w:val="15"/>
        <w:keepNext w:val="0"/>
        <w:keepLines w:val="0"/>
        <w:widowControl/>
        <w:suppressLineNumbers w:val="0"/>
        <w:jc w:val="left"/>
        <w:rPr>
          <w:rFonts w:eastAsia="宋体"/>
          <w:color w:val="000000"/>
        </w:rPr>
      </w:pPr>
    </w:p>
    <w:p w14:paraId="184962E4">
      <w:pPr>
        <w:pStyle w:val="15"/>
        <w:keepNext w:val="0"/>
        <w:keepLines w:val="0"/>
        <w:widowControl/>
        <w:suppressLineNumbers w:val="0"/>
        <w:jc w:val="left"/>
        <w:rPr>
          <w:color w:val="000000"/>
        </w:rPr>
      </w:pPr>
      <w:r>
        <w:rPr>
          <w:rFonts w:ascii="Times New Roman" w:hAnsi="Times New Roman" w:eastAsia="宋体" w:cs="Times New Roman"/>
          <w:color w:val="000000"/>
          <w:kern w:val="0"/>
          <w:sz w:val="24"/>
          <w:szCs w:val="24"/>
        </w:rPr>
        <w:t>在实践拓展上，支部联合计研四四党支部、人智所教工党支部，于2026年5月28日至31日组织"重走百色起义路 勇担科技报国志"雁行社会实践，14名师生党员赴广西南宁、百色开展"红色研学+产业调研"双驱动实践。支队先后与中共南宁市委组织部、市人社局、团市委、市科技局、市数据局及广西大学相关负责同志座谈交流，参访中国—东盟人工智能应用合作中心、中国—东盟信息港数字经济展示中心，并与自治区大数据发展局深入探讨人工智能在大模型应用、数据安全及跨境合作中的真实需求；赴百色起义纪念馆追寻邓小平、张云逸等革命先辈的奋斗足迹，在红七军军部旧址粤东会馆的入党誓词牌前重温入党誓词，同时走进广西民族博物馆、邓颖超纪念馆，在壮乡文化考察中深化对中华民族共同体意识的具象理解。实践推动支队成员实现了从"算法供给者"向"场景理解者"的思想转变，切实增强了服务国家战略、投身西部发展的使命担当。实践成果在研工小站及院系公众号发布稿件7篇，获得当地对接单位的积极评价，为后续校地长效合作奠定了基础。</w:t>
      </w:r>
    </w:p>
    <w:p w14:paraId="5AB7EE39">
      <w:pPr>
        <w:pStyle w:val="15"/>
        <w:keepNext w:val="0"/>
        <w:keepLines w:val="0"/>
        <w:widowControl/>
        <w:suppressLineNumbers w:val="0"/>
        <w:jc w:val="left"/>
        <w:rPr>
          <w:rFonts w:eastAsia="宋体"/>
          <w:color w:val="000000"/>
        </w:rPr>
      </w:pPr>
      <w:r>
        <w:drawing>
          <wp:inline distT="0" distB="0" distL="114300" distR="114300">
            <wp:extent cx="5267325" cy="3943350"/>
            <wp:effectExtent l="0" t="0" r="9525" b="1905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Picture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2B5D">
      <w:pPr>
        <w:pStyle w:val="15"/>
        <w:keepNext w:val="0"/>
        <w:keepLines w:val="0"/>
        <w:widowControl/>
        <w:suppressLineNumbers w:val="0"/>
        <w:jc w:val="left"/>
      </w:pPr>
      <w:r>
        <w:rPr>
          <w:rFonts w:ascii="Times New Roman" w:hAnsi="Times New Roman" w:eastAsia="宋体" w:cs="Times New Roman"/>
          <w:color w:val="000000"/>
          <w:kern w:val="0"/>
          <w:sz w:val="24"/>
          <w:szCs w:val="24"/>
        </w:rPr>
        <w:t>通过上述系列举措，计研四三党支部实现了党建工作与科研生活的深度耦合：主题党日让毕业生的经验与初心留在支部，专题党课让红色传统融入学术底色，联合实践让专业所长对接国家所需。支部凝聚力和同学们对课题组、对研究所的归属感显著增强，科技报国的理想信念在导学互动与实践淬炼中不断筑牢，为纵向支部依托学术共同体开展党建育人提供了可借鉴的实践样本。</w:t>
      </w:r>
    </w:p>
    <w:p w14:paraId="415F2DB0">
      <w:pPr>
        <w:spacing w:line="300" w:lineRule="auto"/>
        <w:ind w:firstLine="480"/>
        <w:jc w:val="both"/>
        <w:rPr>
          <w:kern w:val="0"/>
          <w:sz w:val="24"/>
          <w:szCs w:val="20"/>
        </w:rPr>
      </w:pPr>
    </w:p>
    <w:p w14:paraId="13CF8591">
      <w:pPr>
        <w:spacing w:line="300" w:lineRule="auto"/>
        <w:jc w:val="center"/>
        <w:rPr>
          <w:rFonts w:ascii="方正仿宋_GBK" w:hAnsi="方正仿宋_GBK" w:eastAsia="方正仿宋_GBK" w:cs="方正仿宋_GBK"/>
          <w:b/>
          <w:bCs/>
          <w:color w:val="000000"/>
          <w:sz w:val="18"/>
        </w:rPr>
      </w:pPr>
      <w:r>
        <w:rPr>
          <w:rFonts w:ascii="方正仿宋_GBK" w:hAnsi="方正仿宋_GBK" w:eastAsia="方正仿宋_GBK" w:cs="方正仿宋_GBK"/>
          <w:b/>
          <w:bCs/>
          <w:color w:val="000000"/>
          <w:kern w:val="2"/>
          <w:sz w:val="18"/>
          <w:szCs w:val="24"/>
        </w:rPr>
        <w:t xml:space="preserve">图2 </w:t>
      </w:r>
    </w:p>
    <w:p w14:paraId="1B43DA81">
      <w:pPr>
        <w:pageBreakBefore/>
        <w:spacing w:line="300" w:lineRule="auto"/>
        <w:jc w:val="both"/>
        <w:rPr>
          <w:b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四、突出支部育人：以纵向支部活动载体构建全员参与、朋辈互助的育人体系（杜晋华）</w:t>
      </w:r>
    </w:p>
    <w:p w14:paraId="57151B28">
      <w:pPr>
        <w:spacing w:line="300" w:lineRule="auto"/>
        <w:jc w:val="both"/>
        <w:rPr>
          <w:b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4.1 从“组织活动”到“支部育人”：凝练纵向支部的朋辈支持与骨干培养机制</w:t>
      </w:r>
    </w:p>
    <w:p w14:paraId="12090067">
      <w:pPr>
        <w:spacing w:line="300" w:lineRule="auto"/>
        <w:ind w:firstLine="480"/>
        <w:jc w:val="both"/>
        <w:rPr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kern w:val="0"/>
          <w:sz w:val="24"/>
          <w:szCs w:val="20"/>
        </w:rPr>
        <w:t>2026年7月1日，习近平总书记在庆祝中国共产党成立105周年大会上的讲话中指出：“青年是实现中华民族伟大复兴的生力军。全党要重视青年、关心青年、支持青年，为青年成长成才创造条件。”这一重要论述为纵向党支部发挥组织优势、服务青年成长成才提供了根本遵循。</w:t>
      </w:r>
    </w:p>
    <w:p w14:paraId="62C70216">
      <w:pPr>
        <w:spacing w:line="300" w:lineRule="auto"/>
        <w:ind w:firstLine="480"/>
        <w:jc w:val="both"/>
        <w:rPr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kern w:val="0"/>
          <w:sz w:val="24"/>
          <w:szCs w:val="20"/>
        </w:rPr>
        <w:t>研究生纵向支部汇聚了处于入学适应、科研起步、攻坚深造和毕业发展等不同阶段的成员。年级跨度与发展差异既带来协调难度，也构成重要的育人资源：高年级同学拥有科研与组织经验，低年级同学富有参与热情和新鲜视角，党员骨干熟悉制度规范，群众和入党积极分子则有明确的成长需求。若活动长期由少数支委包办，多数成员就容易停留在“到场参与”层面，组织活力也难以稳定积累。因而，纵向支部育人的关键不是简单增加活动数量，而是把代际差异转化为稳定的支持关系，把活动全过程转化为人人可进入的成长情境。</w:t>
      </w:r>
    </w:p>
    <w:p w14:paraId="77A419D9">
      <w:pPr>
        <w:spacing w:line="300" w:lineRule="auto"/>
        <w:ind w:firstLine="480"/>
        <w:jc w:val="both"/>
        <w:rPr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kern w:val="0"/>
          <w:sz w:val="24"/>
          <w:szCs w:val="20"/>
        </w:rPr>
        <w:t>支部活动应被视为一门嵌入集体生活的“实践课程”。一次活动从需求调研、议题设计、资源对接、现场组织，到总结传播和复盘归档，包含沟通协调、问题解决、公共表达与责任担当等育人环节。支部通过任务拆解和岗位开放，让同学由活动参与者逐步成为协作者、主理人和带教者；通过高年级带低年级、党员带群众、骨干带新人，把个体经验沉淀为集体方法。成员在“做中学、学中帮、帮中带”，思想引领也由单向宣讲转向共同实践。</w:t>
      </w:r>
    </w:p>
    <w:p w14:paraId="3859B704">
      <w:pPr>
        <w:spacing w:line="300" w:lineRule="auto"/>
        <w:ind w:firstLine="480"/>
        <w:jc w:val="both"/>
        <w:rPr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kern w:val="0"/>
          <w:sz w:val="24"/>
          <w:szCs w:val="20"/>
        </w:rPr>
        <w:t>据此可以形成“参与式育人—朋辈式支持—递进式培养”的育人机制：以轮值主理降低参与门槛，使每名成员都有承担公共事务的机会；以党员骨干结对和高低年级协作提供过程支持，避免新人“独自摸索”；以复盘、宣传和台账记录固化经验，推动能力成长可见、活动方法可复用。其核心是把少数骨干的单点投入转化为全体成员的分布式参与，使组织生活既完成政治功能，也持续生产新的集体骨干。</w:t>
      </w:r>
    </w:p>
    <w:p w14:paraId="2050D8F1">
      <w:pPr>
        <w:spacing w:line="300" w:lineRule="auto"/>
        <w:jc w:val="both"/>
        <w:rPr>
          <w:b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4.2 工作案例：计研五三党支部以特色活动推动全员成长</w:t>
      </w:r>
    </w:p>
    <w:p w14:paraId="564D3345">
      <w:pPr>
        <w:spacing w:line="300" w:lineRule="auto"/>
        <w:ind w:firstLine="480"/>
        <w:jc w:val="both"/>
        <w:rPr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kern w:val="0"/>
          <w:sz w:val="24"/>
          <w:szCs w:val="20"/>
        </w:rPr>
        <w:t>计研五三党支部针对博士生占比高、科研节奏不一、成员年级跨度大的实际，围绕“人人为我、我为人人”和“星星之火、可以燎原”建立双向驱动机制。前者强调将活动组织权交给成员，后者强调党员骨干以有限投入撬动广泛参与。支部把月度活动拆分为议题确认、问卷调研、资源协调、通知报名、签到组织、稿件撰写、审核发布、系统录入和复盘归档等流程，形成清晰的操作清单；提出每位新成员在研究生阶段至少担任一次活动主理人，支委主要负责资源统筹、规范把关和困难兜底。这样既减轻了少数骨干长期包办的负担，也让集体事务成为培养组织能力的真实课堂。</w:t>
      </w:r>
    </w:p>
    <w:p w14:paraId="238F4E4B">
      <w:pPr>
        <w:spacing w:line="300" w:lineRule="auto"/>
        <w:ind w:firstLine="480"/>
        <w:jc w:val="both"/>
        <w:rPr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kern w:val="0"/>
          <w:sz w:val="24"/>
          <w:szCs w:val="20"/>
        </w:rPr>
        <w:t>2025年8月至2026年6月，11名新同学先后牵头完成11场活动，覆盖红色教育与产业调研、理论学习与科研讨论、体育美育、社区志愿服务和科技报国主题党课等类型，累计参与149人次，并形成对应总结推送。活动内容包括昌平南口“雁行”实践、新生德育主题活动、两会精神与AI科研讨论、国家安全与AI网络安全志愿服务、科技报国主题党课等。活动主题虽各不相同，组织过程却遵循同一套可学习、可交接、可复用的标准，使新生在入学第一年即从“被服务者”转变为集体建设者。</w:t>
      </w:r>
    </w:p>
    <w:p w14:paraId="46C10A86">
      <w:pPr>
        <w:spacing w:line="300" w:lineRule="auto"/>
        <w:ind w:firstLine="480"/>
        <w:jc w:val="both"/>
        <w:rPr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kern w:val="0"/>
          <w:sz w:val="24"/>
          <w:szCs w:val="20"/>
        </w:rPr>
        <w:t>“星星之火”机制则为主理人配置朋辈支持网络。支部每月安排2至3名党员轮值牵头或协同保障，由熟悉流程的支委、高年级党员在需求判断、资源链接和风险控制等关键环节提供指导，入党积极分子和群众承担调研、主持、宣传等具体任务。2026年4月至7月，14名在校党员中已有12名参与轮值或协同，另有已离校党员返场支持；多名入党积极分子也在组织实践中承担任务。党员作用由“替大家做”转向“带着大家做”，入党培养也由材料和课堂延伸到服务同学、解决问题的日常场景。</w:t>
      </w:r>
    </w:p>
    <w:p w14:paraId="35825477">
      <w:pPr>
        <w:spacing w:line="300" w:lineRule="auto"/>
        <w:ind w:firstLine="480"/>
        <w:jc w:val="both"/>
        <w:rPr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kern w:val="0"/>
          <w:sz w:val="24"/>
          <w:szCs w:val="20"/>
        </w:rPr>
        <w:t>为防止活动结束即育人结束，支部以“需求—实施—复盘—传播”闭环承接成长成果。活动前通过问卷识别成员时间与需求，活动中以高低年级搭档完成分工，活动后由主理人撰写总结、宣传委员校核、支部归档，并将成熟流程交给下一位组织者。上一位新人的经验成为下一位新人的起点，阶段性参与逐渐转化为持续的集体记忆；活动台账也帮助支部及时发现参与不足、支持缺口和成员发展诉求，提升服务的精准度。</w:t>
      </w:r>
    </w:p>
    <w:p w14:paraId="2CFAC1B9">
      <w:pPr>
        <w:spacing w:line="300" w:lineRule="auto"/>
        <w:ind w:firstLine="480"/>
        <w:jc w:val="both"/>
        <w:rPr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kern w:val="0"/>
          <w:sz w:val="24"/>
          <w:szCs w:val="20"/>
        </w:rPr>
        <w:t>这一实践推动计研五三由“少数人组织、多数人参加”走向“人人参与、人人受益、人人成长”。支部先后获评“笃行班团”“卓越班团”和甲级团支部，说明纵向支部的组织优势能够进一步转化为育人效能。其可复制经验不在某一项活动本身，而在于把活动课程化、任务模块化、带动网络化、成果可复用化：让每名成员都有一次站到台前的机会，让每名骨干都承担带动他人的责任，让每次活动都为下一轮成长留下方法和伙伴，进而形成全员参与、朋辈互助、代际接续的支部育人生态。</w:t>
      </w:r>
    </w:p>
    <w:p w14:paraId="6EE900A2">
      <w:pPr>
        <w:spacing w:line="300" w:lineRule="auto"/>
        <w:ind w:firstLine="480"/>
        <w:jc w:val="both"/>
        <w:rPr>
          <w:kern w:val="0"/>
          <w:sz w:val="24"/>
          <w:szCs w:val="20"/>
        </w:rPr>
      </w:pPr>
    </w:p>
    <w:p w14:paraId="175562E8">
      <w:pPr>
        <w:keepNext/>
        <w:spacing w:before="200" w:after="8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628265" cy="1751965"/>
            <wp:effectExtent l="0" t="0" r="13335" b="63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303780" cy="1727835"/>
            <wp:effectExtent l="0" t="0" r="7620" b="24765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564ADD32">
      <w:pPr>
        <w:keepNext w:val="0"/>
        <w:spacing w:line="300" w:lineRule="auto"/>
        <w:jc w:val="center"/>
        <w:rPr>
          <w:rFonts w:ascii="方正仿宋_GBK" w:hAnsi="方正仿宋_GBK" w:eastAsia="方正仿宋_GBK" w:cs="方正仿宋_GBK"/>
          <w:b/>
          <w:bCs/>
          <w:color w:val="000000"/>
          <w:sz w:val="18"/>
        </w:rPr>
      </w:pPr>
      <w:r>
        <w:rPr>
          <w:rFonts w:ascii="方正仿宋_GBK" w:hAnsi="方正仿宋_GBK" w:eastAsia="方正仿宋_GBK" w:cs="方正仿宋_GBK"/>
          <w:b/>
          <w:bCs/>
          <w:color w:val="000000"/>
          <w:kern w:val="2"/>
          <w:sz w:val="18"/>
          <w:szCs w:val="24"/>
        </w:rPr>
        <w:t>图3 计研五三党支部特色活动</w:t>
      </w:r>
    </w:p>
    <w:p w14:paraId="6995CC44">
      <w:pPr>
        <w:spacing w:line="300" w:lineRule="auto"/>
        <w:ind w:firstLine="480"/>
        <w:jc w:val="both"/>
        <w:rPr>
          <w:kern w:val="0"/>
          <w:sz w:val="24"/>
          <w:szCs w:val="20"/>
        </w:rPr>
      </w:pPr>
    </w:p>
    <w:p w14:paraId="458AC3B2">
      <w:pPr>
        <w:spacing w:line="300" w:lineRule="auto"/>
        <w:jc w:val="both"/>
        <w:rPr>
          <w:b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五、服务学科建设：以科研报国导向推动党建与学科发展深度融合（严若天）</w:t>
      </w:r>
    </w:p>
    <w:p w14:paraId="4C6BBC71">
      <w:pPr>
        <w:spacing w:line="300" w:lineRule="auto"/>
        <w:jc w:val="both"/>
        <w:rPr>
          <w:rFonts w:ascii="楷体" w:hAnsi="楷体" w:eastAsia="楷体"/>
          <w:kern w:val="0"/>
          <w:sz w:val="24"/>
          <w:szCs w:val="20"/>
        </w:rPr>
      </w:pPr>
      <w:r>
        <w:rPr>
          <w:rFonts w:ascii="楷体" w:hAnsi="楷体" w:eastAsia="楷体" w:cs="Times New Roman"/>
          <w:kern w:val="0"/>
          <w:sz w:val="24"/>
          <w:szCs w:val="20"/>
        </w:rPr>
        <w:t>对应支部：计研六二</w:t>
      </w:r>
    </w:p>
    <w:p w14:paraId="5C292393">
      <w:pPr>
        <w:spacing w:line="300" w:lineRule="auto"/>
        <w:jc w:val="both"/>
        <w:rPr>
          <w:rFonts w:ascii="楷体" w:hAnsi="楷体" w:eastAsia="楷体"/>
          <w:kern w:val="0"/>
          <w:sz w:val="24"/>
          <w:szCs w:val="20"/>
        </w:rPr>
      </w:pPr>
      <w:r>
        <w:rPr>
          <w:rFonts w:ascii="楷体" w:hAnsi="楷体" w:eastAsia="楷体" w:cs="Times New Roman"/>
          <w:kern w:val="0"/>
          <w:sz w:val="24"/>
          <w:szCs w:val="20"/>
        </w:rPr>
        <w:t>核心案例：吴院士讲党课、华为实践等科研/产业相关活动</w:t>
      </w:r>
    </w:p>
    <w:p w14:paraId="58F62B43">
      <w:pPr>
        <w:spacing w:line="300" w:lineRule="auto"/>
        <w:jc w:val="both"/>
        <w:rPr>
          <w:rFonts w:ascii="楷体" w:hAnsi="楷体" w:eastAsia="楷体"/>
          <w:kern w:val="0"/>
          <w:sz w:val="24"/>
          <w:szCs w:val="20"/>
        </w:rPr>
      </w:pPr>
      <w:r>
        <w:rPr>
          <w:rFonts w:ascii="楷体" w:hAnsi="楷体" w:eastAsia="楷体" w:cs="Times New Roman"/>
          <w:kern w:val="0"/>
          <w:sz w:val="24"/>
          <w:szCs w:val="20"/>
        </w:rPr>
        <w:t>参考方向：去年计研二一，但今年不要重复“就业实践”，而是强调“学科建设牵引党建”。</w:t>
      </w:r>
    </w:p>
    <w:p w14:paraId="778257CE">
      <w:pPr>
        <w:spacing w:line="300" w:lineRule="auto"/>
        <w:jc w:val="both"/>
        <w:rPr>
          <w:b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5.1 面向国家战略需求，构建“党建+学科+科研实践”融合发展机制</w:t>
      </w:r>
    </w:p>
    <w:p w14:paraId="4F9C36E7">
      <w:pPr>
        <w:spacing w:line="300" w:lineRule="auto"/>
        <w:jc w:val="both"/>
        <w:rPr>
          <w:rFonts w:ascii="楷体" w:hAnsi="楷体" w:eastAsia="楷体" w:cs="楷体"/>
          <w:kern w:val="0"/>
          <w:sz w:val="24"/>
          <w:szCs w:val="20"/>
        </w:rPr>
      </w:pPr>
      <w:r>
        <w:rPr>
          <w:rFonts w:ascii="楷体" w:hAnsi="楷体" w:eastAsia="楷体" w:cs="楷体"/>
          <w:kern w:val="0"/>
          <w:sz w:val="24"/>
          <w:szCs w:val="20"/>
        </w:rPr>
        <w:t>重点写：计算机学科服务国家战略，支部党建要引导学生理解学科使命、科研方向和产业需求，把个人科研选择放到科技自立自强的大背景里。</w:t>
      </w:r>
    </w:p>
    <w:p w14:paraId="185F1870">
      <w:pPr>
        <w:spacing w:line="30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2"/>
          <w:sz w:val="24"/>
          <w:szCs w:val="24"/>
        </w:rPr>
        <w:t>当前，世界百年未有之大变局加速演进，新一轮科技革命和产业变革深入发展，科技创新成为国际战略博弈的主战场。党的二十大明确提出，要坚持教育优先发展、科技自立自强、人才引领驱动，加快建设教育强国、科技强国、人才强国。2026 年政府工作报告进一步部署 "深化拓展 ' 人工智能 +'" 行动、"一体推进教育科技人才发展"，将科技创新摆在现代化建设全局的核心位置。</w:t>
      </w:r>
    </w:p>
    <w:p w14:paraId="0B1BB54B">
      <w:pPr>
        <w:spacing w:line="30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2"/>
          <w:sz w:val="24"/>
          <w:szCs w:val="24"/>
        </w:rPr>
        <w:t>高校计算机学科作为基础研究主力军和人才培养主阵地，肩负着攻克核心技术、培养拔尖创新人才的双重重任。研究生群体处于科研攻关第一线，是学科建设的生力军，也是未来国家科技事业的接班人。如何让支部党建引领学生科研方向选择和职业发展规划，响应国家计划和产业需求，成为高校基层党建工作必须回答的时代命题。</w:t>
      </w:r>
    </w:p>
    <w:p w14:paraId="1ABA780E">
      <w:pPr>
        <w:keepNext/>
        <w:spacing w:line="300" w:lineRule="auto"/>
        <w:ind w:left="0"/>
        <w:jc w:val="both"/>
        <w:rPr>
          <w:b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5.2 工作案例：计研六二党支部以学科前沿活动强化思想引领</w:t>
      </w:r>
    </w:p>
    <w:p w14:paraId="4A2BBC15">
      <w:pPr>
        <w:ind w:left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楷体" w:hAnsi="楷体" w:eastAsia="楷体" w:cs="楷体"/>
          <w:kern w:val="0"/>
          <w:sz w:val="24"/>
          <w:szCs w:val="20"/>
        </w:rPr>
        <w:t>重点写：吴院士讲党课提供学科精神与科研报国引领，华为实践连接产业前沿与国家需求，其他活动共同形成“理论学习—学科认知—产业实践—科研使命”的闭环。</w:t>
      </w:r>
    </w:p>
    <w:p w14:paraId="10D25A63">
      <w:pPr>
        <w:spacing w:line="300" w:lineRule="auto"/>
        <w:ind w:firstLine="480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eastAsia="宋体" w:cs="宋体"/>
          <w:kern w:val="2"/>
          <w:sz w:val="24"/>
          <w:szCs w:val="24"/>
        </w:rPr>
        <w:t>计研六二党支部依托计算机系纵向研究生班级建立，覆盖计算机系网络所多位导师课题组，学生研究方向广泛，人员结构具备高度多样性，成员年龄跨度超十年，既有本科直读硕士的青年学生，也有多年职场经历返校深造的在职博士生，科研阅历、知识背景、发展诉求差异明显。计研六二党支部立足支部现状，分析产业需求，充分利用学校和课题组的相关资源，举办了多场活动，构建了“党建+学科+科研实践”融合发展机制。</w:t>
      </w:r>
    </w:p>
    <w:p w14:paraId="3F8CDD8B">
      <w:pPr>
        <w:spacing w:line="30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2"/>
          <w:sz w:val="24"/>
          <w:szCs w:val="24"/>
        </w:rPr>
        <w:t>为让同学们深入理解当下的时代背景，学习学科精神，计研六二支部组织全体党员参与计算机系党委第二十二期 "领雁之声" 专题学习，聆听中国工程院吴建平院士题为《坚定党员信仰 科技自立自强》专题党课，本次学习由计算机系主任尹霞主持，多院系、重点实验室、中关村实验室党员共同参与。支部课后第一时间组织专题研讨，党员结合自身网络安全、AI 检测等研究方向交流感悟。大家一致认识到，网络空间安全、互联网基础协议等基础学科研究并非冷门方向，而是保障国家主权安全的战略基石，进一步校正了科研价值取向，实现以顶尖学科前辈事迹完成深层次思想淬炼。</w:t>
      </w:r>
    </w:p>
    <w:p w14:paraId="55369094">
      <w:pPr>
        <w:spacing w:line="300" w:lineRule="auto"/>
        <w:ind w:firstLine="480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eastAsia="宋体" w:cs="宋体"/>
          <w:kern w:val="2"/>
          <w:sz w:val="24"/>
          <w:szCs w:val="24"/>
        </w:rPr>
        <w:t>为让同学们近距离接触产业前沿、了解企业需求，计研六二党支部组织全体党员赴华为公司北研所实地参访，打造 "走出实验室、走进龙头科技企业" 实践课堂。支部还联动多个党支部，共同开展"人工智能+"主题师生企联学共建活动，以跨领域党建联动推动 AI 技术产学研协同创新。这些活动极大地开阔了同学们的视野，为许多低年级同学的研究方向选择提供了现实参考。</w:t>
      </w:r>
    </w:p>
    <w:p w14:paraId="3734E0CC">
      <w:pPr>
        <w:spacing w:line="300" w:lineRule="auto"/>
        <w:ind w:firstLine="480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eastAsia="宋体" w:cs="宋体"/>
          <w:kern w:val="2"/>
          <w:sz w:val="24"/>
          <w:szCs w:val="24"/>
        </w:rPr>
        <w:t>计研六二支部整合院士授课、企业实地参访、跨院系师生企联学共建三类核心活动，串联起从思想铸魂、专业认知到产学研落地的完整育人链条，形成系统化、特色化党建工作载体。构建融合发展机制，关键是搭建从理论到实践、从认知到行动的完整育人链条，推动党建工作由 "被动灌输" 向 "主动融入" 转变，由 "单点活动" 向 "系统体系" 升级。</w:t>
      </w:r>
    </w:p>
    <w:p w14:paraId="0258F40D">
      <w:pPr>
        <w:spacing w:line="300" w:lineRule="auto"/>
        <w:ind w:left="0"/>
        <w:jc w:val="both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7325" cy="3952875"/>
            <wp:effectExtent l="0" t="0" r="9525" b="9525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Picture 1000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E68A">
      <w:pPr>
        <w:spacing w:line="300" w:lineRule="auto"/>
        <w:jc w:val="center"/>
        <w:rPr>
          <w:rFonts w:ascii="方正仿宋_GBK" w:hAnsi="方正仿宋_GBK" w:eastAsia="方正仿宋_GBK" w:cs="方正仿宋_GBK"/>
          <w:b/>
          <w:bCs/>
          <w:color w:val="000000"/>
          <w:sz w:val="18"/>
        </w:rPr>
      </w:pPr>
      <w:r>
        <w:rPr>
          <w:rFonts w:ascii="方正仿宋_GBK" w:hAnsi="方正仿宋_GBK" w:eastAsia="方正仿宋_GBK" w:cs="方正仿宋_GBK"/>
          <w:b/>
          <w:bCs/>
          <w:color w:val="000000"/>
          <w:kern w:val="2"/>
          <w:sz w:val="18"/>
          <w:szCs w:val="24"/>
        </w:rPr>
        <w:t>图4-吴建平院士给同学们讲党课</w:t>
      </w:r>
    </w:p>
    <w:p w14:paraId="2725233C">
      <w:pPr>
        <w:pageBreakBefore/>
        <w:widowControl/>
        <w:jc w:val="left"/>
        <w:rPr>
          <w:kern w:val="0"/>
          <w:sz w:val="24"/>
          <w:szCs w:val="20"/>
        </w:rPr>
      </w:pPr>
    </w:p>
    <w:p w14:paraId="0DC94AD7">
      <w:pPr>
        <w:spacing w:line="300" w:lineRule="auto"/>
        <w:jc w:val="both"/>
        <w:rPr>
          <w:b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参考文献（孙豪）</w:t>
      </w:r>
    </w:p>
    <w:p w14:paraId="7E48C2CA">
      <w:pPr>
        <w:spacing w:line="300" w:lineRule="auto"/>
        <w:ind w:firstLine="480"/>
        <w:jc w:val="both"/>
        <w:rPr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kern w:val="0"/>
          <w:sz w:val="24"/>
          <w:szCs w:val="20"/>
        </w:rPr>
        <w:t>统一标注于文后，用顺序编码制，文中标注于引用内容段后右上角（例如</w:t>
      </w:r>
      <w:r>
        <w:rPr>
          <w:rFonts w:ascii="Times New Roman" w:hAnsi="Times New Roman" w:eastAsia="宋体" w:cs="Times New Roman"/>
          <w:kern w:val="0"/>
          <w:sz w:val="24"/>
          <w:szCs w:val="20"/>
          <w:vertAlign w:val="superscript"/>
        </w:rPr>
        <w:t>[1]</w:t>
      </w:r>
      <w:r>
        <w:rPr>
          <w:rFonts w:ascii="Times New Roman" w:hAnsi="Times New Roman" w:eastAsia="宋体" w:cs="Times New Roman"/>
          <w:kern w:val="0"/>
          <w:sz w:val="24"/>
          <w:szCs w:val="20"/>
        </w:rPr>
        <w:t>）。著作要提供作者、书名[文献类型标识]、出版地、出版单位、出版年、页码。期刊要求提供作者、篇名、期刊名、年份、卷号、期号、页码。（小四，宋体，1.25倍行距，段前0，段后0）</w:t>
      </w:r>
    </w:p>
    <w:p w14:paraId="4865B16C">
      <w:pPr>
        <w:spacing w:line="300" w:lineRule="auto"/>
        <w:ind w:firstLine="480"/>
        <w:jc w:val="left"/>
        <w:rPr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kern w:val="0"/>
          <w:sz w:val="24"/>
          <w:szCs w:val="20"/>
        </w:rPr>
        <w:t>例如：</w:t>
      </w:r>
    </w:p>
    <w:p w14:paraId="005467C3">
      <w:pPr>
        <w:numPr>
          <w:ilvl w:val="0"/>
          <w:numId w:val="1"/>
        </w:numPr>
        <w:spacing w:line="300" w:lineRule="auto"/>
        <w:ind w:left="1" w:hanging="26"/>
        <w:jc w:val="both"/>
        <w:rPr>
          <w:kern w:val="0"/>
          <w:sz w:val="24"/>
          <w:szCs w:val="20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韩永萍,杨建兰,刘红梅,等.基于“多元融合、纵向班、多导师制”强化专业创新创业实践能力探索与实践[J].创新创业理论研究与实践,2023,6(05):103-106.</w:t>
      </w:r>
    </w:p>
    <w:p w14:paraId="061EAB77">
      <w:pPr>
        <w:spacing w:line="300" w:lineRule="auto"/>
        <w:ind w:left="1"/>
        <w:jc w:val="both"/>
        <w:rPr>
          <w:kern w:val="0"/>
          <w:sz w:val="24"/>
          <w:szCs w:val="20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5016631"/>
      <w:docPartObj>
        <w:docPartGallery w:val="autotext"/>
      </w:docPartObj>
    </w:sdtPr>
    <w:sdtContent>
      <w:p w14:paraId="355FFD9A">
        <w:pPr>
          <w:pStyle w:val="1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90D297">
    <w:pPr>
      <w:pStyle w:val="1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226AFF"/>
    <w:multiLevelType w:val="multilevel"/>
    <w:tmpl w:val="03226AFF"/>
    <w:lvl w:ilvl="0" w:tentative="0">
      <w:start w:val="1"/>
      <w:numFmt w:val="decimal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I0Y2YxZGI3NDE0NDY3MjAzMGRkMjQ5MGE3YjQ5MmMifQ=="/>
  </w:docVars>
  <w:rsids>
    <w:rsidRoot w:val="00632AB0"/>
    <w:rsid w:val="00001D36"/>
    <w:rsid w:val="000029E2"/>
    <w:rsid w:val="00002E5D"/>
    <w:rsid w:val="000045F9"/>
    <w:rsid w:val="000135BD"/>
    <w:rsid w:val="0001384B"/>
    <w:rsid w:val="0001546F"/>
    <w:rsid w:val="00015EC7"/>
    <w:rsid w:val="0001628E"/>
    <w:rsid w:val="000165D2"/>
    <w:rsid w:val="00021565"/>
    <w:rsid w:val="00024666"/>
    <w:rsid w:val="00030703"/>
    <w:rsid w:val="00055745"/>
    <w:rsid w:val="00057B68"/>
    <w:rsid w:val="00061EA0"/>
    <w:rsid w:val="000723B8"/>
    <w:rsid w:val="00074777"/>
    <w:rsid w:val="00074C30"/>
    <w:rsid w:val="0009244A"/>
    <w:rsid w:val="00096EAC"/>
    <w:rsid w:val="000974C9"/>
    <w:rsid w:val="000A0C6F"/>
    <w:rsid w:val="000A2048"/>
    <w:rsid w:val="000A5667"/>
    <w:rsid w:val="000A7981"/>
    <w:rsid w:val="000A7C11"/>
    <w:rsid w:val="000B3371"/>
    <w:rsid w:val="000C2F11"/>
    <w:rsid w:val="000D0EAB"/>
    <w:rsid w:val="000D2240"/>
    <w:rsid w:val="000D6C64"/>
    <w:rsid w:val="000E4FB3"/>
    <w:rsid w:val="00105CBC"/>
    <w:rsid w:val="00112CD0"/>
    <w:rsid w:val="00124695"/>
    <w:rsid w:val="0012472E"/>
    <w:rsid w:val="00130719"/>
    <w:rsid w:val="00131836"/>
    <w:rsid w:val="00134AB5"/>
    <w:rsid w:val="00136FB8"/>
    <w:rsid w:val="00137BBA"/>
    <w:rsid w:val="00137CF9"/>
    <w:rsid w:val="00141646"/>
    <w:rsid w:val="00147473"/>
    <w:rsid w:val="00152724"/>
    <w:rsid w:val="00153CB3"/>
    <w:rsid w:val="00160C70"/>
    <w:rsid w:val="00162CCD"/>
    <w:rsid w:val="00170369"/>
    <w:rsid w:val="001703EA"/>
    <w:rsid w:val="00177B4D"/>
    <w:rsid w:val="00177C2B"/>
    <w:rsid w:val="001801C9"/>
    <w:rsid w:val="00181F85"/>
    <w:rsid w:val="00183AB6"/>
    <w:rsid w:val="001845D3"/>
    <w:rsid w:val="0019144D"/>
    <w:rsid w:val="00191C50"/>
    <w:rsid w:val="00193813"/>
    <w:rsid w:val="00194C18"/>
    <w:rsid w:val="00197568"/>
    <w:rsid w:val="001A15FB"/>
    <w:rsid w:val="001A4323"/>
    <w:rsid w:val="001A57F0"/>
    <w:rsid w:val="001B051B"/>
    <w:rsid w:val="001B542D"/>
    <w:rsid w:val="001B7542"/>
    <w:rsid w:val="001C1317"/>
    <w:rsid w:val="001C1B73"/>
    <w:rsid w:val="001C2FD7"/>
    <w:rsid w:val="001C67E8"/>
    <w:rsid w:val="001C6939"/>
    <w:rsid w:val="001D4181"/>
    <w:rsid w:val="001D68BA"/>
    <w:rsid w:val="001E029B"/>
    <w:rsid w:val="001E3CBF"/>
    <w:rsid w:val="001E735E"/>
    <w:rsid w:val="001F127F"/>
    <w:rsid w:val="001F2081"/>
    <w:rsid w:val="001F3614"/>
    <w:rsid w:val="001F4F41"/>
    <w:rsid w:val="001F52D9"/>
    <w:rsid w:val="001F6966"/>
    <w:rsid w:val="001F6E6A"/>
    <w:rsid w:val="002016AF"/>
    <w:rsid w:val="00204E3E"/>
    <w:rsid w:val="00210244"/>
    <w:rsid w:val="0021067B"/>
    <w:rsid w:val="00215B81"/>
    <w:rsid w:val="00220268"/>
    <w:rsid w:val="00220FC2"/>
    <w:rsid w:val="002214CB"/>
    <w:rsid w:val="00221996"/>
    <w:rsid w:val="0023104D"/>
    <w:rsid w:val="00234E43"/>
    <w:rsid w:val="00235F1D"/>
    <w:rsid w:val="00243BBF"/>
    <w:rsid w:val="00244F2B"/>
    <w:rsid w:val="00252ECA"/>
    <w:rsid w:val="00255FB1"/>
    <w:rsid w:val="0027645C"/>
    <w:rsid w:val="00282770"/>
    <w:rsid w:val="002865DE"/>
    <w:rsid w:val="00293E81"/>
    <w:rsid w:val="00297CB1"/>
    <w:rsid w:val="002A5494"/>
    <w:rsid w:val="002A5BC2"/>
    <w:rsid w:val="002B0719"/>
    <w:rsid w:val="002B3507"/>
    <w:rsid w:val="002B6FC8"/>
    <w:rsid w:val="002B7093"/>
    <w:rsid w:val="002C1AC9"/>
    <w:rsid w:val="002D110F"/>
    <w:rsid w:val="002D1413"/>
    <w:rsid w:val="002D328B"/>
    <w:rsid w:val="002D7762"/>
    <w:rsid w:val="002D7988"/>
    <w:rsid w:val="002E23DC"/>
    <w:rsid w:val="002F0993"/>
    <w:rsid w:val="00301B84"/>
    <w:rsid w:val="00303BCF"/>
    <w:rsid w:val="003062EE"/>
    <w:rsid w:val="003063CA"/>
    <w:rsid w:val="0031047A"/>
    <w:rsid w:val="00314636"/>
    <w:rsid w:val="00314EFD"/>
    <w:rsid w:val="00315217"/>
    <w:rsid w:val="00316BD9"/>
    <w:rsid w:val="00316F92"/>
    <w:rsid w:val="00331AC8"/>
    <w:rsid w:val="00333445"/>
    <w:rsid w:val="00335A12"/>
    <w:rsid w:val="0033721F"/>
    <w:rsid w:val="00337618"/>
    <w:rsid w:val="00342551"/>
    <w:rsid w:val="003427D0"/>
    <w:rsid w:val="0034350E"/>
    <w:rsid w:val="00344F0D"/>
    <w:rsid w:val="0034682F"/>
    <w:rsid w:val="003473B7"/>
    <w:rsid w:val="00364DDC"/>
    <w:rsid w:val="00371066"/>
    <w:rsid w:val="00381C14"/>
    <w:rsid w:val="0038703E"/>
    <w:rsid w:val="00387ADF"/>
    <w:rsid w:val="003914CC"/>
    <w:rsid w:val="003A1418"/>
    <w:rsid w:val="003B3C50"/>
    <w:rsid w:val="003C3034"/>
    <w:rsid w:val="003C560C"/>
    <w:rsid w:val="003D36C8"/>
    <w:rsid w:val="003E0F76"/>
    <w:rsid w:val="003E5515"/>
    <w:rsid w:val="00403719"/>
    <w:rsid w:val="00407915"/>
    <w:rsid w:val="004110F2"/>
    <w:rsid w:val="00417998"/>
    <w:rsid w:val="00422CB1"/>
    <w:rsid w:val="0043266E"/>
    <w:rsid w:val="00432DDE"/>
    <w:rsid w:val="00440762"/>
    <w:rsid w:val="00442A98"/>
    <w:rsid w:val="00444A26"/>
    <w:rsid w:val="00450A00"/>
    <w:rsid w:val="0045156D"/>
    <w:rsid w:val="004531D2"/>
    <w:rsid w:val="00453A97"/>
    <w:rsid w:val="00461249"/>
    <w:rsid w:val="00461D94"/>
    <w:rsid w:val="00463805"/>
    <w:rsid w:val="004675C0"/>
    <w:rsid w:val="00470031"/>
    <w:rsid w:val="00471DD6"/>
    <w:rsid w:val="00474920"/>
    <w:rsid w:val="0049061C"/>
    <w:rsid w:val="004A2941"/>
    <w:rsid w:val="004B15A7"/>
    <w:rsid w:val="004B1D16"/>
    <w:rsid w:val="004B4008"/>
    <w:rsid w:val="004B4D27"/>
    <w:rsid w:val="004B6DB9"/>
    <w:rsid w:val="004C11A3"/>
    <w:rsid w:val="004C5331"/>
    <w:rsid w:val="004D710B"/>
    <w:rsid w:val="004D71C4"/>
    <w:rsid w:val="004E155C"/>
    <w:rsid w:val="004E3A86"/>
    <w:rsid w:val="004E73F1"/>
    <w:rsid w:val="004F2CC9"/>
    <w:rsid w:val="004F5AC4"/>
    <w:rsid w:val="004F68FF"/>
    <w:rsid w:val="00515035"/>
    <w:rsid w:val="005174A8"/>
    <w:rsid w:val="0052051F"/>
    <w:rsid w:val="005225B2"/>
    <w:rsid w:val="00524192"/>
    <w:rsid w:val="00527BFE"/>
    <w:rsid w:val="00545C52"/>
    <w:rsid w:val="00547C90"/>
    <w:rsid w:val="00551CF6"/>
    <w:rsid w:val="00555406"/>
    <w:rsid w:val="00557BFA"/>
    <w:rsid w:val="00560550"/>
    <w:rsid w:val="00563BDA"/>
    <w:rsid w:val="00567E49"/>
    <w:rsid w:val="00570E8B"/>
    <w:rsid w:val="00572A4F"/>
    <w:rsid w:val="00573A82"/>
    <w:rsid w:val="0057662B"/>
    <w:rsid w:val="00580949"/>
    <w:rsid w:val="00593F7F"/>
    <w:rsid w:val="00595166"/>
    <w:rsid w:val="0059619A"/>
    <w:rsid w:val="005A2B1C"/>
    <w:rsid w:val="005A31F8"/>
    <w:rsid w:val="005B23CC"/>
    <w:rsid w:val="005B2EEF"/>
    <w:rsid w:val="005B6FA7"/>
    <w:rsid w:val="005C5BD3"/>
    <w:rsid w:val="005D430E"/>
    <w:rsid w:val="005E2641"/>
    <w:rsid w:val="005E438F"/>
    <w:rsid w:val="005E6A18"/>
    <w:rsid w:val="005F2B4C"/>
    <w:rsid w:val="005F55BE"/>
    <w:rsid w:val="005F6916"/>
    <w:rsid w:val="005F74CE"/>
    <w:rsid w:val="00606BBB"/>
    <w:rsid w:val="00613FB7"/>
    <w:rsid w:val="00627D59"/>
    <w:rsid w:val="006300C6"/>
    <w:rsid w:val="00632AB0"/>
    <w:rsid w:val="00640BB6"/>
    <w:rsid w:val="00650A4F"/>
    <w:rsid w:val="00655930"/>
    <w:rsid w:val="006605A0"/>
    <w:rsid w:val="006709A3"/>
    <w:rsid w:val="00676770"/>
    <w:rsid w:val="00676A1C"/>
    <w:rsid w:val="006902E6"/>
    <w:rsid w:val="0069142D"/>
    <w:rsid w:val="0069429F"/>
    <w:rsid w:val="006A2FCB"/>
    <w:rsid w:val="006B3358"/>
    <w:rsid w:val="006D4954"/>
    <w:rsid w:val="006F0100"/>
    <w:rsid w:val="006F365C"/>
    <w:rsid w:val="007038C2"/>
    <w:rsid w:val="0071090A"/>
    <w:rsid w:val="00714A5C"/>
    <w:rsid w:val="00722E66"/>
    <w:rsid w:val="00725317"/>
    <w:rsid w:val="00732275"/>
    <w:rsid w:val="00736A44"/>
    <w:rsid w:val="00740D40"/>
    <w:rsid w:val="0074206B"/>
    <w:rsid w:val="00745E5E"/>
    <w:rsid w:val="00750857"/>
    <w:rsid w:val="00750AE6"/>
    <w:rsid w:val="00750DBE"/>
    <w:rsid w:val="00761B87"/>
    <w:rsid w:val="00763D0C"/>
    <w:rsid w:val="0076417C"/>
    <w:rsid w:val="00765586"/>
    <w:rsid w:val="00770818"/>
    <w:rsid w:val="00781C3C"/>
    <w:rsid w:val="007931DC"/>
    <w:rsid w:val="0079385C"/>
    <w:rsid w:val="00797CF1"/>
    <w:rsid w:val="007B1C7C"/>
    <w:rsid w:val="007B2220"/>
    <w:rsid w:val="007C3DFB"/>
    <w:rsid w:val="007C4F22"/>
    <w:rsid w:val="007D3877"/>
    <w:rsid w:val="007D3CAB"/>
    <w:rsid w:val="007D5779"/>
    <w:rsid w:val="007E044B"/>
    <w:rsid w:val="007E5F48"/>
    <w:rsid w:val="007F1B5C"/>
    <w:rsid w:val="007F235F"/>
    <w:rsid w:val="007F40B0"/>
    <w:rsid w:val="007F488A"/>
    <w:rsid w:val="00802696"/>
    <w:rsid w:val="00803BB4"/>
    <w:rsid w:val="00804680"/>
    <w:rsid w:val="00805EA7"/>
    <w:rsid w:val="00811A0D"/>
    <w:rsid w:val="00812B8F"/>
    <w:rsid w:val="00820772"/>
    <w:rsid w:val="00825622"/>
    <w:rsid w:val="00842D64"/>
    <w:rsid w:val="00843AB3"/>
    <w:rsid w:val="00845763"/>
    <w:rsid w:val="00847BF5"/>
    <w:rsid w:val="00850853"/>
    <w:rsid w:val="00855ED7"/>
    <w:rsid w:val="008624F3"/>
    <w:rsid w:val="008733BD"/>
    <w:rsid w:val="00880107"/>
    <w:rsid w:val="008960BA"/>
    <w:rsid w:val="00896996"/>
    <w:rsid w:val="00897858"/>
    <w:rsid w:val="008A1776"/>
    <w:rsid w:val="008A514E"/>
    <w:rsid w:val="008A6983"/>
    <w:rsid w:val="008C00B2"/>
    <w:rsid w:val="008C505A"/>
    <w:rsid w:val="008D433D"/>
    <w:rsid w:val="008D5343"/>
    <w:rsid w:val="008D62A3"/>
    <w:rsid w:val="008E438D"/>
    <w:rsid w:val="008F2573"/>
    <w:rsid w:val="009042FF"/>
    <w:rsid w:val="00905BB6"/>
    <w:rsid w:val="00920CF3"/>
    <w:rsid w:val="00921504"/>
    <w:rsid w:val="009306EC"/>
    <w:rsid w:val="00931655"/>
    <w:rsid w:val="00932B75"/>
    <w:rsid w:val="00936A69"/>
    <w:rsid w:val="0094606A"/>
    <w:rsid w:val="0095430F"/>
    <w:rsid w:val="00961F57"/>
    <w:rsid w:val="009645F4"/>
    <w:rsid w:val="00972971"/>
    <w:rsid w:val="00972C35"/>
    <w:rsid w:val="00976EC5"/>
    <w:rsid w:val="00985687"/>
    <w:rsid w:val="009952C3"/>
    <w:rsid w:val="009A0809"/>
    <w:rsid w:val="009A2276"/>
    <w:rsid w:val="009A2ED1"/>
    <w:rsid w:val="009A2EEE"/>
    <w:rsid w:val="009A31CC"/>
    <w:rsid w:val="009B08FA"/>
    <w:rsid w:val="009B0B29"/>
    <w:rsid w:val="009B13EE"/>
    <w:rsid w:val="009C1E28"/>
    <w:rsid w:val="009C3E73"/>
    <w:rsid w:val="009D1AF1"/>
    <w:rsid w:val="009D5477"/>
    <w:rsid w:val="009E1321"/>
    <w:rsid w:val="009E19D9"/>
    <w:rsid w:val="009E1B52"/>
    <w:rsid w:val="009E35CB"/>
    <w:rsid w:val="009E529E"/>
    <w:rsid w:val="009E748D"/>
    <w:rsid w:val="009F5D98"/>
    <w:rsid w:val="00A016D7"/>
    <w:rsid w:val="00A05369"/>
    <w:rsid w:val="00A0646B"/>
    <w:rsid w:val="00A1093F"/>
    <w:rsid w:val="00A21E18"/>
    <w:rsid w:val="00A22A43"/>
    <w:rsid w:val="00A32A1E"/>
    <w:rsid w:val="00A339D8"/>
    <w:rsid w:val="00A3549A"/>
    <w:rsid w:val="00A43202"/>
    <w:rsid w:val="00A445B6"/>
    <w:rsid w:val="00A5090A"/>
    <w:rsid w:val="00A66C07"/>
    <w:rsid w:val="00A84F1C"/>
    <w:rsid w:val="00A956F7"/>
    <w:rsid w:val="00A95C57"/>
    <w:rsid w:val="00AA0A02"/>
    <w:rsid w:val="00AB651F"/>
    <w:rsid w:val="00AC412C"/>
    <w:rsid w:val="00AC4B70"/>
    <w:rsid w:val="00AC58E5"/>
    <w:rsid w:val="00AC5ABF"/>
    <w:rsid w:val="00AD6416"/>
    <w:rsid w:val="00AD655E"/>
    <w:rsid w:val="00AF3A0E"/>
    <w:rsid w:val="00AF6DA6"/>
    <w:rsid w:val="00B012E8"/>
    <w:rsid w:val="00B11093"/>
    <w:rsid w:val="00B1728E"/>
    <w:rsid w:val="00B25B4A"/>
    <w:rsid w:val="00B31F6B"/>
    <w:rsid w:val="00B51499"/>
    <w:rsid w:val="00B51B55"/>
    <w:rsid w:val="00B551DE"/>
    <w:rsid w:val="00B56171"/>
    <w:rsid w:val="00B56DFE"/>
    <w:rsid w:val="00B65FA4"/>
    <w:rsid w:val="00B6641A"/>
    <w:rsid w:val="00B67F08"/>
    <w:rsid w:val="00B756ED"/>
    <w:rsid w:val="00B93620"/>
    <w:rsid w:val="00B945AF"/>
    <w:rsid w:val="00B94D9E"/>
    <w:rsid w:val="00BB1E2F"/>
    <w:rsid w:val="00BC5756"/>
    <w:rsid w:val="00BD5EAF"/>
    <w:rsid w:val="00BD79E7"/>
    <w:rsid w:val="00BE062B"/>
    <w:rsid w:val="00BE3DF3"/>
    <w:rsid w:val="00BE6134"/>
    <w:rsid w:val="00BE7630"/>
    <w:rsid w:val="00BF078C"/>
    <w:rsid w:val="00BF526D"/>
    <w:rsid w:val="00C0119F"/>
    <w:rsid w:val="00C17B19"/>
    <w:rsid w:val="00C23312"/>
    <w:rsid w:val="00C2715D"/>
    <w:rsid w:val="00C37CC2"/>
    <w:rsid w:val="00C430C1"/>
    <w:rsid w:val="00C4409F"/>
    <w:rsid w:val="00C44633"/>
    <w:rsid w:val="00C47B67"/>
    <w:rsid w:val="00C5051D"/>
    <w:rsid w:val="00C568DC"/>
    <w:rsid w:val="00C768D3"/>
    <w:rsid w:val="00C801CF"/>
    <w:rsid w:val="00C8153C"/>
    <w:rsid w:val="00C83F06"/>
    <w:rsid w:val="00C866A9"/>
    <w:rsid w:val="00C9246F"/>
    <w:rsid w:val="00C92C05"/>
    <w:rsid w:val="00C945F6"/>
    <w:rsid w:val="00C95068"/>
    <w:rsid w:val="00C952F1"/>
    <w:rsid w:val="00CA1EDB"/>
    <w:rsid w:val="00CA575D"/>
    <w:rsid w:val="00CA6779"/>
    <w:rsid w:val="00CA6C04"/>
    <w:rsid w:val="00CB0410"/>
    <w:rsid w:val="00CB1C3B"/>
    <w:rsid w:val="00CC5823"/>
    <w:rsid w:val="00CD4D90"/>
    <w:rsid w:val="00CD5D0B"/>
    <w:rsid w:val="00CE10A9"/>
    <w:rsid w:val="00CF0748"/>
    <w:rsid w:val="00CF107E"/>
    <w:rsid w:val="00D0060B"/>
    <w:rsid w:val="00D06218"/>
    <w:rsid w:val="00D1562E"/>
    <w:rsid w:val="00D20BB8"/>
    <w:rsid w:val="00D213D5"/>
    <w:rsid w:val="00D22D65"/>
    <w:rsid w:val="00D33076"/>
    <w:rsid w:val="00D35EC7"/>
    <w:rsid w:val="00D367A2"/>
    <w:rsid w:val="00D54A58"/>
    <w:rsid w:val="00D55FFB"/>
    <w:rsid w:val="00D56CCF"/>
    <w:rsid w:val="00D65243"/>
    <w:rsid w:val="00D66991"/>
    <w:rsid w:val="00D66A24"/>
    <w:rsid w:val="00D73AB4"/>
    <w:rsid w:val="00D75D49"/>
    <w:rsid w:val="00D767CC"/>
    <w:rsid w:val="00D80CB7"/>
    <w:rsid w:val="00D86090"/>
    <w:rsid w:val="00D94D4D"/>
    <w:rsid w:val="00D96646"/>
    <w:rsid w:val="00D96CBA"/>
    <w:rsid w:val="00D96E43"/>
    <w:rsid w:val="00D97F6A"/>
    <w:rsid w:val="00DA1B12"/>
    <w:rsid w:val="00DB08D5"/>
    <w:rsid w:val="00DB702C"/>
    <w:rsid w:val="00DC07D8"/>
    <w:rsid w:val="00DD2E67"/>
    <w:rsid w:val="00DD60A8"/>
    <w:rsid w:val="00DD75B1"/>
    <w:rsid w:val="00DE0EB7"/>
    <w:rsid w:val="00DE4DF2"/>
    <w:rsid w:val="00DE7F35"/>
    <w:rsid w:val="00DF0EB0"/>
    <w:rsid w:val="00DF57C8"/>
    <w:rsid w:val="00E0075B"/>
    <w:rsid w:val="00E00FB4"/>
    <w:rsid w:val="00E11738"/>
    <w:rsid w:val="00E15CBA"/>
    <w:rsid w:val="00E3264B"/>
    <w:rsid w:val="00E33049"/>
    <w:rsid w:val="00E34047"/>
    <w:rsid w:val="00E35C9D"/>
    <w:rsid w:val="00E36243"/>
    <w:rsid w:val="00E42F13"/>
    <w:rsid w:val="00E43E7B"/>
    <w:rsid w:val="00E46B55"/>
    <w:rsid w:val="00E5129C"/>
    <w:rsid w:val="00E5243E"/>
    <w:rsid w:val="00E53BEE"/>
    <w:rsid w:val="00E56213"/>
    <w:rsid w:val="00E6452D"/>
    <w:rsid w:val="00E66B43"/>
    <w:rsid w:val="00E72E96"/>
    <w:rsid w:val="00E80125"/>
    <w:rsid w:val="00E806EF"/>
    <w:rsid w:val="00E841B5"/>
    <w:rsid w:val="00EA4B50"/>
    <w:rsid w:val="00EA6CBD"/>
    <w:rsid w:val="00EC171A"/>
    <w:rsid w:val="00EC4322"/>
    <w:rsid w:val="00ED3FC5"/>
    <w:rsid w:val="00ED667D"/>
    <w:rsid w:val="00EF065D"/>
    <w:rsid w:val="00EF1674"/>
    <w:rsid w:val="00EF1E7F"/>
    <w:rsid w:val="00EF7D2A"/>
    <w:rsid w:val="00F03F09"/>
    <w:rsid w:val="00F11B1F"/>
    <w:rsid w:val="00F13CBB"/>
    <w:rsid w:val="00F16607"/>
    <w:rsid w:val="00F16832"/>
    <w:rsid w:val="00F20215"/>
    <w:rsid w:val="00F21453"/>
    <w:rsid w:val="00F260E8"/>
    <w:rsid w:val="00F304FD"/>
    <w:rsid w:val="00F369ED"/>
    <w:rsid w:val="00F370CC"/>
    <w:rsid w:val="00F377A7"/>
    <w:rsid w:val="00F423DC"/>
    <w:rsid w:val="00F44531"/>
    <w:rsid w:val="00F46C39"/>
    <w:rsid w:val="00F47AEE"/>
    <w:rsid w:val="00F52312"/>
    <w:rsid w:val="00F637F0"/>
    <w:rsid w:val="00F80779"/>
    <w:rsid w:val="00F84D98"/>
    <w:rsid w:val="00F87085"/>
    <w:rsid w:val="00F916F7"/>
    <w:rsid w:val="00FA16D8"/>
    <w:rsid w:val="00FA2C9B"/>
    <w:rsid w:val="00FA4CBF"/>
    <w:rsid w:val="00FA55C5"/>
    <w:rsid w:val="00FA579B"/>
    <w:rsid w:val="00FA5D47"/>
    <w:rsid w:val="00FB0C16"/>
    <w:rsid w:val="00FC3D63"/>
    <w:rsid w:val="00FC7442"/>
    <w:rsid w:val="00FD4C48"/>
    <w:rsid w:val="00FE4527"/>
    <w:rsid w:val="0283312D"/>
    <w:rsid w:val="0B8E5B5C"/>
    <w:rsid w:val="0CE916E4"/>
    <w:rsid w:val="11C44419"/>
    <w:rsid w:val="1C8905A0"/>
    <w:rsid w:val="2E1D6FFC"/>
    <w:rsid w:val="31DA0E2A"/>
    <w:rsid w:val="3C656005"/>
    <w:rsid w:val="4340207D"/>
    <w:rsid w:val="4FC9FEE4"/>
    <w:rsid w:val="4FFF502F"/>
    <w:rsid w:val="54255534"/>
    <w:rsid w:val="57EE718F"/>
    <w:rsid w:val="5CF241B7"/>
    <w:rsid w:val="6347CC09"/>
    <w:rsid w:val="6CE5C8EF"/>
    <w:rsid w:val="6DB86103"/>
    <w:rsid w:val="6DEB6993"/>
    <w:rsid w:val="7ADF1295"/>
    <w:rsid w:val="7D485AE4"/>
    <w:rsid w:val="7E7D6CEA"/>
    <w:rsid w:val="96FBC0E8"/>
    <w:rsid w:val="A8CB0AAC"/>
    <w:rsid w:val="AEFDB239"/>
    <w:rsid w:val="CB3CE498"/>
    <w:rsid w:val="CBB60B5B"/>
    <w:rsid w:val="CFEFBDCC"/>
    <w:rsid w:val="D57F008F"/>
    <w:rsid w:val="DACC9DB4"/>
    <w:rsid w:val="DDDDA652"/>
    <w:rsid w:val="EFCF3651"/>
    <w:rsid w:val="FF9A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qFormat/>
    <w:uiPriority w:val="9"/>
    <w:pPr>
      <w:keepNext/>
      <w:keepLines/>
      <w:spacing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1"/>
    <w:next w:val="1"/>
    <w:qFormat/>
    <w:uiPriority w:val="9"/>
    <w:pPr>
      <w:keepNext/>
      <w:keepLines/>
      <w:spacing w:line="408" w:lineRule="auto"/>
      <w:outlineLvl w:val="3"/>
    </w:pPr>
    <w:rPr>
      <w:b/>
      <w:bCs/>
      <w:color w:val="1A1A1A"/>
      <w:sz w:val="24"/>
    </w:rPr>
  </w:style>
  <w:style w:type="character" w:default="1" w:styleId="18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35"/>
    <w:autoRedefine/>
    <w:qFormat/>
    <w:uiPriority w:val="0"/>
    <w:rPr>
      <w:rFonts w:ascii="宋体"/>
      <w:sz w:val="18"/>
      <w:szCs w:val="18"/>
      <w:lang w:val="zh-CN"/>
    </w:rPr>
  </w:style>
  <w:style w:type="paragraph" w:styleId="6">
    <w:name w:val="annotation text"/>
    <w:basedOn w:val="1"/>
    <w:link w:val="24"/>
    <w:autoRedefine/>
    <w:qFormat/>
    <w:uiPriority w:val="0"/>
    <w:pPr>
      <w:jc w:val="left"/>
    </w:pPr>
  </w:style>
  <w:style w:type="paragraph" w:styleId="7">
    <w:name w:val="Body Tex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8">
    <w:name w:val="Body Text Inden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9">
    <w:name w:val="Date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0">
    <w:name w:val="Body Text Indent 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1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12">
    <w:name w:val="footer"/>
    <w:basedOn w:val="1"/>
    <w:link w:val="31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13">
    <w:name w:val="header"/>
    <w:basedOn w:val="1"/>
    <w:link w:val="28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14">
    <w:name w:val="footnote text"/>
    <w:basedOn w:val="1"/>
    <w:link w:val="33"/>
    <w:autoRedefine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6">
    <w:name w:val="annotation subject"/>
    <w:basedOn w:val="6"/>
    <w:next w:val="6"/>
    <w:link w:val="23"/>
    <w:autoRedefine/>
    <w:semiHidden/>
    <w:unhideWhenUsed/>
    <w:qFormat/>
    <w:uiPriority w:val="0"/>
    <w:rPr>
      <w:b/>
      <w:bCs/>
    </w:rPr>
  </w:style>
  <w:style w:type="character" w:styleId="19">
    <w:name w:val="Strong"/>
    <w:autoRedefine/>
    <w:qFormat/>
    <w:uiPriority w:val="0"/>
    <w:rPr>
      <w:b/>
      <w:bCs/>
    </w:rPr>
  </w:style>
  <w:style w:type="character" w:styleId="20">
    <w:name w:val="Hyperlink"/>
    <w:autoRedefine/>
    <w:qFormat/>
    <w:uiPriority w:val="0"/>
    <w:rPr>
      <w:color w:val="000000"/>
      <w:sz w:val="15"/>
      <w:szCs w:val="15"/>
      <w:u w:val="none"/>
    </w:rPr>
  </w:style>
  <w:style w:type="character" w:styleId="21">
    <w:name w:val="annotation reference"/>
    <w:basedOn w:val="18"/>
    <w:autoRedefine/>
    <w:qFormat/>
    <w:uiPriority w:val="0"/>
    <w:rPr>
      <w:sz w:val="21"/>
      <w:szCs w:val="21"/>
    </w:rPr>
  </w:style>
  <w:style w:type="character" w:styleId="22">
    <w:name w:val="footnote reference"/>
    <w:autoRedefine/>
    <w:semiHidden/>
    <w:qFormat/>
    <w:uiPriority w:val="0"/>
    <w:rPr>
      <w:vertAlign w:val="superscript"/>
    </w:rPr>
  </w:style>
  <w:style w:type="character" w:customStyle="1" w:styleId="23">
    <w:name w:val="批注主题 字符"/>
    <w:basedOn w:val="24"/>
    <w:link w:val="16"/>
    <w:autoRedefine/>
    <w:semiHidden/>
    <w:qFormat/>
    <w:uiPriority w:val="0"/>
    <w:rPr>
      <w:b/>
      <w:bCs/>
      <w:kern w:val="2"/>
      <w:sz w:val="21"/>
      <w:szCs w:val="24"/>
    </w:rPr>
  </w:style>
  <w:style w:type="character" w:customStyle="1" w:styleId="24">
    <w:name w:val="批注文字 字符"/>
    <w:basedOn w:val="18"/>
    <w:link w:val="6"/>
    <w:autoRedefine/>
    <w:qFormat/>
    <w:uiPriority w:val="0"/>
    <w:rPr>
      <w:kern w:val="2"/>
      <w:sz w:val="21"/>
      <w:szCs w:val="24"/>
    </w:rPr>
  </w:style>
  <w:style w:type="character" w:customStyle="1" w:styleId="25">
    <w:name w:val="未处理的提及2"/>
    <w:basedOn w:val="1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未处理的提及1"/>
    <w:basedOn w:val="18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7">
    <w:name w:val="标题 1 字符"/>
    <w:basedOn w:val="18"/>
    <w:link w:val="2"/>
    <w:qFormat/>
    <w:uiPriority w:val="0"/>
    <w:rPr>
      <w:b/>
      <w:bCs/>
      <w:kern w:val="44"/>
      <w:sz w:val="44"/>
      <w:szCs w:val="44"/>
    </w:rPr>
  </w:style>
  <w:style w:type="character" w:customStyle="1" w:styleId="28">
    <w:name w:val="页眉 字符"/>
    <w:link w:val="13"/>
    <w:autoRedefine/>
    <w:qFormat/>
    <w:uiPriority w:val="0"/>
    <w:rPr>
      <w:kern w:val="2"/>
      <w:sz w:val="18"/>
      <w:szCs w:val="18"/>
    </w:rPr>
  </w:style>
  <w:style w:type="paragraph" w:customStyle="1" w:styleId="29">
    <w:name w:val="a0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0">
    <w:name w:val="公文标题"/>
    <w:basedOn w:val="1"/>
    <w:next w:val="1"/>
    <w:autoRedefine/>
    <w:qFormat/>
    <w:uiPriority w:val="0"/>
    <w:pPr>
      <w:spacing w:after="156" w:afterLines="50"/>
      <w:jc w:val="center"/>
      <w:outlineLvl w:val="0"/>
    </w:pPr>
    <w:rPr>
      <w:rFonts w:ascii="仿宋_GB2312" w:eastAsia="仿宋_GB2312"/>
      <w:b/>
      <w:sz w:val="32"/>
      <w:szCs w:val="20"/>
    </w:rPr>
  </w:style>
  <w:style w:type="character" w:customStyle="1" w:styleId="31">
    <w:name w:val="页脚 字符"/>
    <w:link w:val="12"/>
    <w:autoRedefine/>
    <w:qFormat/>
    <w:uiPriority w:val="99"/>
    <w:rPr>
      <w:kern w:val="2"/>
      <w:sz w:val="18"/>
      <w:szCs w:val="18"/>
    </w:rPr>
  </w:style>
  <w:style w:type="paragraph" w:customStyle="1" w:styleId="32">
    <w:name w:val="修订1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3">
    <w:name w:val="脚注文本 字符"/>
    <w:basedOn w:val="18"/>
    <w:link w:val="14"/>
    <w:semiHidden/>
    <w:qFormat/>
    <w:uiPriority w:val="0"/>
    <w:rPr>
      <w:kern w:val="2"/>
      <w:sz w:val="18"/>
      <w:szCs w:val="18"/>
    </w:rPr>
  </w:style>
  <w:style w:type="paragraph" w:customStyle="1" w:styleId="34">
    <w:name w:val="修订11"/>
    <w:autoRedefine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5">
    <w:name w:val="文档结构图 字符"/>
    <w:link w:val="5"/>
    <w:autoRedefine/>
    <w:qFormat/>
    <w:uiPriority w:val="0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235</Words>
  <Characters>1345</Characters>
  <Lines>11</Lines>
  <Paragraphs>3</Paragraphs>
  <TotalTime>7</TotalTime>
  <ScaleCrop>false</ScaleCrop>
  <LinksUpToDate>false</LinksUpToDate>
  <CharactersWithSpaces>1577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2026-07-05T10:26:00Z</dcterms:created>
  <dc:creator>Data</dc:creator>
  <cp:lastModifiedBy>杜晋华(2022310811)</cp:lastModifiedBy>
  <dcterms:modified xsi:type="dcterms:W3CDTF">2026-08-10T13:30:32Z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877365026A14E39C1347796A5DF539A9_43</vt:lpwstr>
  </property>
</Properties>
</file>