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69B5F9">
      <w:pPr>
        <w:pStyle w:val="2"/>
        <w:rPr>
          <w:rFonts w:hint="eastAsia" w:eastAsiaTheme="minorEastAsia"/>
          <w:lang w:val="en-US" w:eastAsia="zh-CN"/>
        </w:rPr>
      </w:pPr>
      <w:r>
        <w:rPr>
          <w:rFonts w:hint="eastAsia" w:ascii="Times New Roman" w:hAnsi="Times New Roman" w:cs="Times New Roman"/>
          <w:lang w:val="en-US" w:eastAsia="zh-CN"/>
        </w:rPr>
        <w:t>C</w:t>
      </w:r>
      <w:r>
        <w:rPr>
          <w:rFonts w:ascii="Times New Roman" w:hAnsi="Times New Roman" w:cs="Times New Roman"/>
        </w:rPr>
        <w:t>ontext-</w:t>
      </w:r>
      <w:r>
        <w:rPr>
          <w:rFonts w:hint="eastAsia" w:ascii="Times New Roman" w:hAnsi="Times New Roman" w:cs="Times New Roman"/>
          <w:lang w:val="en-US" w:eastAsia="zh-CN"/>
        </w:rPr>
        <w:t>S</w:t>
      </w:r>
      <w:r>
        <w:rPr>
          <w:rFonts w:ascii="Times New Roman" w:hAnsi="Times New Roman" w:cs="Times New Roman"/>
        </w:rPr>
        <w:t>tructure</w:t>
      </w:r>
      <w:r>
        <w:rPr>
          <w:rFonts w:hint="eastAsia" w:ascii="Times New Roman" w:hAnsi="Times New Roman" w:cs="Times New Roman"/>
          <w:lang w:val="en-US" w:eastAsia="zh-CN"/>
        </w:rPr>
        <w:t>-</w:t>
      </w:r>
      <w:r>
        <w:rPr>
          <w:rFonts w:hint="eastAsia"/>
        </w:rPr>
        <w:t>Telco-RAG: Structured Context</w:t>
      </w:r>
      <w:r>
        <w:rPr>
          <w:rFonts w:hint="eastAsia"/>
          <w:lang w:val="en-US" w:eastAsia="zh-CN"/>
        </w:rPr>
        <w:t xml:space="preserve"> Retrieval-Augmented Language Models for Telecommunications</w:t>
      </w:r>
    </w:p>
    <w:p w14:paraId="2C851E2F">
      <w:pPr>
        <w:pStyle w:val="3"/>
        <w:bidi w:val="0"/>
      </w:pPr>
      <w:r>
        <w:rPr>
          <w:rFonts w:hint="eastAsia"/>
        </w:rPr>
        <w:t>1</w:t>
      </w:r>
      <w:r>
        <w:t>.Abstract</w:t>
      </w:r>
    </w:p>
    <w:p w14:paraId="4FADC1F3">
      <w:pPr>
        <w:spacing w:after="120"/>
        <w:ind w:firstLine="420"/>
        <w:rPr>
          <w:rFonts w:ascii="Times New Roman" w:hAnsi="Times New Roman" w:cs="Times New Roman"/>
        </w:rPr>
      </w:pPr>
      <w:r>
        <w:rPr>
          <w:rFonts w:ascii="Times New Roman" w:hAnsi="Times New Roman" w:cs="Times New Roman"/>
        </w:rPr>
        <w:t xml:space="preserve"> This paper proposes a framework named context-structure-telco-rag (SC-Telco-Rag) that integrates LLMs and RAG technology for the telecommunications domain. This framework encompasses techniques such as the construction of structured knowledge bases, solutions for table question-answering within documents, and a two-stage fine-tuning</w:t>
      </w:r>
      <w:r>
        <w:rPr>
          <w:rFonts w:ascii="Times New Roman" w:hAnsi="Times New Roman" w:cs="Times New Roman"/>
          <w:vertAlign w:val="superscript"/>
        </w:rPr>
        <w:t>[1]</w:t>
      </w:r>
      <w:r>
        <w:rPr>
          <w:rFonts w:ascii="Times New Roman" w:hAnsi="Times New Roman" w:cs="Times New Roman"/>
        </w:rPr>
        <w:t xml:space="preserve"> strategy for large models. Utilizing the aforementioned LLM + RAG framework, the Specializing Large Language Models for Telecom Networks by ITU AI/ML in 5G Challenge achieved an accuracy of 80.7% with the Phi2-2.7B model and 99.7% with the Qwen1.5-7B-chat model.</w:t>
      </w:r>
    </w:p>
    <w:p w14:paraId="46F0E638">
      <w:pPr>
        <w:pStyle w:val="3"/>
        <w:bidi w:val="0"/>
      </w:pPr>
      <w:r>
        <w:rPr>
          <w:rFonts w:hint="eastAsia"/>
        </w:rPr>
        <w:t>2</w:t>
      </w:r>
      <w:r>
        <w:t>. Framework Introduction</w:t>
      </w:r>
    </w:p>
    <w:p w14:paraId="401955F5">
      <w:pPr>
        <w:pStyle w:val="4"/>
        <w:bidi w:val="0"/>
      </w:pPr>
      <w:r>
        <w:rPr>
          <w:rFonts w:hint="eastAsia"/>
        </w:rPr>
        <w:t>2</w:t>
      </w:r>
      <w:r>
        <w:t>.1 Framework Overview</w:t>
      </w:r>
    </w:p>
    <w:p w14:paraId="5321B3F9">
      <w:pPr>
        <w:spacing w:after="120"/>
        <w:ind w:firstLine="420"/>
        <w:rPr>
          <w:rFonts w:ascii="Times New Roman" w:hAnsi="Times New Roman" w:cs="Times New Roman"/>
        </w:rPr>
      </w:pPr>
      <w:r>
        <w:rPr>
          <w:rFonts w:ascii="Times New Roman" w:hAnsi="Times New Roman" w:cs="Times New Roman"/>
        </w:rPr>
        <w:t>The overall architecture of the model is shown in the following diagram:</w:t>
      </w:r>
    </w:p>
    <w:p w14:paraId="09DB7E4A">
      <w:pPr>
        <w:keepNext/>
      </w:pPr>
      <w:r>
        <w:drawing>
          <wp:inline distT="0" distB="0" distL="114300" distR="114300">
            <wp:extent cx="5266690" cy="2962910"/>
            <wp:effectExtent l="0" t="0" r="6350" b="8890"/>
            <wp:docPr id="2" name="图片 2" descr="演示文稿1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演示文稿1_01(1)"/>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0CE4103E">
      <w:pPr>
        <w:pStyle w:val="6"/>
        <w:jc w:val="center"/>
        <w:rPr>
          <w:rFonts w:ascii="宋体" w:hAnsi="宋体" w:eastAsia="宋体" w:cs="宋体"/>
          <w:sz w:val="21"/>
          <w:szCs w:val="21"/>
        </w:rPr>
      </w:pPr>
      <w:r>
        <w:rPr>
          <w:sz w:val="21"/>
          <w:szCs w:val="21"/>
        </w:rPr>
        <w:t xml:space="preserve">Figure </w:t>
      </w:r>
      <w:r>
        <w:rPr>
          <w:sz w:val="21"/>
          <w:szCs w:val="21"/>
        </w:rPr>
        <w:fldChar w:fldCharType="begin"/>
      </w:r>
      <w:r>
        <w:rPr>
          <w:sz w:val="21"/>
          <w:szCs w:val="21"/>
        </w:rPr>
        <w:instrText xml:space="preserve"> SEQ Figure \* ARABIC </w:instrText>
      </w:r>
      <w:r>
        <w:rPr>
          <w:sz w:val="21"/>
          <w:szCs w:val="21"/>
        </w:rPr>
        <w:fldChar w:fldCharType="separate"/>
      </w:r>
      <w:r>
        <w:rPr>
          <w:sz w:val="21"/>
          <w:szCs w:val="21"/>
        </w:rPr>
        <w:t>1</w:t>
      </w:r>
      <w:r>
        <w:rPr>
          <w:sz w:val="21"/>
          <w:szCs w:val="21"/>
        </w:rPr>
        <w:fldChar w:fldCharType="end"/>
      </w:r>
      <w:r>
        <w:rPr>
          <w:sz w:val="21"/>
          <w:szCs w:val="21"/>
        </w:rPr>
        <w:t>.</w:t>
      </w:r>
      <w:r>
        <w:rPr>
          <w:rFonts w:ascii="宋体" w:hAnsi="宋体" w:eastAsia="宋体" w:cs="宋体"/>
          <w:sz w:val="21"/>
          <w:szCs w:val="21"/>
        </w:rPr>
        <w:t xml:space="preserve"> context</w:t>
      </w:r>
      <w:r>
        <w:rPr>
          <w:rFonts w:hint="eastAsia" w:ascii="宋体" w:hAnsi="宋体" w:eastAsia="宋体" w:cs="宋体"/>
          <w:sz w:val="21"/>
          <w:szCs w:val="21"/>
        </w:rPr>
        <w:t>-structure-telco-rag</w:t>
      </w:r>
    </w:p>
    <w:p w14:paraId="5FACB5BA">
      <w:pPr>
        <w:rPr>
          <w:rFonts w:hint="eastAsia"/>
        </w:rPr>
      </w:pPr>
    </w:p>
    <w:p w14:paraId="5D9669B8">
      <w:pPr>
        <w:ind w:firstLine="420" w:firstLineChars="200"/>
        <w:rPr>
          <w:rFonts w:ascii="Times New Roman" w:hAnsi="Times New Roman" w:cs="Times New Roman"/>
        </w:rPr>
      </w:pPr>
      <w:r>
        <w:rPr>
          <w:rFonts w:ascii="Times New Roman" w:hAnsi="Times New Roman" w:cs="Times New Roman"/>
        </w:rPr>
        <w:t>The SC-Telco-Rag framework employs a document tree generation method, dividing documents into natural paragraphs and constructing a document tree based on the structure of the document's headings. This ensures that each chunk includes both paragraph information and structural and summary information from the document's headings. For tables and charts within documents, the SC-Telco-Rag framework first converts these elements into LaTeX structures. It then uses advanced large models to summarize the LaTeX representations, incorporating these summaries into the knowledge base. This approach standardizes the format of the knowledge base documents and ensures accurate comprehension of table information by smaller-scale models like Phi2. After identifying several similar chunks based on vector similarity, the SC-Telco-Rag framework uses reranking techniques</w:t>
      </w:r>
      <w:r>
        <w:rPr>
          <w:rFonts w:ascii="Times New Roman" w:hAnsi="Times New Roman" w:cs="Times New Roman"/>
          <w:vertAlign w:val="superscript"/>
        </w:rPr>
        <w:t>[2]</w:t>
      </w:r>
      <w:r>
        <w:rPr>
          <w:rFonts w:ascii="Times New Roman" w:hAnsi="Times New Roman" w:cs="Times New Roman"/>
        </w:rPr>
        <w:t xml:space="preserve"> to enhance the relevance of information retrieval.</w:t>
      </w:r>
    </w:p>
    <w:p w14:paraId="73816EFB">
      <w:pPr>
        <w:ind w:firstLine="420" w:firstLineChars="200"/>
        <w:rPr>
          <w:rFonts w:ascii="Times New Roman" w:hAnsi="Times New Roman" w:cs="Times New Roman"/>
        </w:rPr>
      </w:pPr>
      <w:r>
        <w:rPr>
          <w:rFonts w:ascii="Times New Roman" w:hAnsi="Times New Roman" w:cs="Times New Roman"/>
        </w:rPr>
        <w:t>The SC-Telco-Rag framework introduces a two-stage fine-tuning approach that integrates SFT (Supervised Fine-Tuning) and RAG techniques by providing context to the large model. In the first stage, conventional fine-tuning methods are applied to enhance the model’s adherence to instructions. The second stage builds upon this by incorporating context information into the prompt, enabling the model to understand and selectively use the information retrieved by RAG.</w:t>
      </w:r>
    </w:p>
    <w:p w14:paraId="793B6AB0">
      <w:pPr>
        <w:pStyle w:val="4"/>
        <w:bidi w:val="0"/>
      </w:pPr>
      <w:r>
        <w:rPr>
          <w:rFonts w:hint="eastAsia"/>
        </w:rPr>
        <w:t>2</w:t>
      </w:r>
      <w:r>
        <w:t>.2 RAG Knowledge Base Construction</w:t>
      </w:r>
    </w:p>
    <w:p w14:paraId="5B84F0F1">
      <w:pPr>
        <w:pStyle w:val="10"/>
        <w:spacing w:after="120"/>
        <w:ind w:firstLine="420"/>
        <w:rPr>
          <w:rFonts w:ascii="Times New Roman" w:hAnsi="Times New Roman" w:cs="Times New Roman"/>
        </w:rPr>
      </w:pPr>
      <w:r>
        <w:rPr>
          <w:rFonts w:ascii="Times New Roman" w:hAnsi="Times New Roman" w:cs="Times New Roman"/>
        </w:rPr>
        <w:t>The construction of the Telecom RAG knowledge base utilizes communication protocol documents provided by the competition.</w:t>
      </w:r>
      <w:r>
        <w:rPr>
          <w:rFonts w:ascii="Times New Roman" w:hAnsi="Times New Roman" w:cs="Times New Roman"/>
          <w:vertAlign w:val="superscript"/>
        </w:rPr>
        <w:t>[3]</w:t>
      </w:r>
      <w:r>
        <w:rPr>
          <w:rFonts w:ascii="Times New Roman" w:hAnsi="Times New Roman" w:cs="Times New Roman"/>
        </w:rPr>
        <w:t xml:space="preserve"> These documents inherently possess a structured format with hierarchical headings and corresponding text under each heading. The documents are semantically segmented into paragraphs, which naturally serve as chunking markers. SC-Telco-Rag segments the documents based on these natural paragraphs and employs a recursive chunking method to control document length, incorporating heading information from various levels into the text. This results in the creation of chunked information. </w:t>
      </w:r>
    </w:p>
    <w:p w14:paraId="7226B9C6">
      <w:pPr>
        <w:pStyle w:val="10"/>
        <w:spacing w:after="120"/>
        <w:ind w:firstLine="420"/>
        <w:rPr>
          <w:rFonts w:ascii="Times New Roman" w:hAnsi="Times New Roman" w:eastAsia="微软雅黑" w:cs="Times New Roman"/>
          <w:kern w:val="2"/>
          <w:sz w:val="21"/>
        </w:rPr>
      </w:pPr>
      <w:r>
        <w:rPr>
          <w:rFonts w:ascii="Times New Roman" w:hAnsi="Times New Roman" w:eastAsia="微软雅黑" w:cs="Times New Roman"/>
          <w:kern w:val="2"/>
          <w:sz w:val="21"/>
        </w:rPr>
        <w:t>For models with smaller parameter scales, such as Phi2-2.7B, understanding structured textual information like tables can be challenging. SC-Telco-Rag</w:t>
      </w:r>
      <w:r>
        <w:rPr>
          <w:rFonts w:ascii="Times New Roman" w:hAnsi="Times New Roman" w:eastAsia="微软雅黑" w:cs="Times New Roman"/>
          <w:kern w:val="2"/>
          <w:sz w:val="21"/>
          <w:vertAlign w:val="superscript"/>
        </w:rPr>
        <w:t>[4]</w:t>
      </w:r>
      <w:r>
        <w:rPr>
          <w:rFonts w:ascii="Times New Roman" w:hAnsi="Times New Roman" w:eastAsia="微软雅黑" w:cs="Times New Roman"/>
          <w:kern w:val="2"/>
          <w:sz w:val="21"/>
        </w:rPr>
        <w:t xml:space="preserve"> first converts tables into LaTeX format and then uses the LaTeX representation as input for the large model. The model's output is a summary of the table, which is then added to the knowledge base. This approach standardizes the format of the knowledge base documents, facilitating the model's comprehension of tabular information.</w:t>
      </w:r>
      <w:r>
        <w:rPr>
          <w:rFonts w:ascii="Times New Roman" w:hAnsi="Times New Roman" w:eastAsia="微软雅黑" w:cs="Times New Roman"/>
          <w:kern w:val="2"/>
          <w:sz w:val="21"/>
          <w:vertAlign w:val="superscript"/>
        </w:rPr>
        <w:t>[5]</w:t>
      </w:r>
      <w:r>
        <w:rPr>
          <w:rFonts w:ascii="Times New Roman" w:hAnsi="Times New Roman" w:eastAsia="微软雅黑" w:cs="Times New Roman"/>
          <w:kern w:val="2"/>
          <w:sz w:val="21"/>
        </w:rPr>
        <w:t xml:space="preserve"> Another advantage of this method is that it allows the use of larger models to offline summarize tabular data, thereby improving both efficiency and accuracy.</w:t>
      </w:r>
    </w:p>
    <w:p w14:paraId="3E4C5B4A">
      <w:pPr>
        <w:spacing w:after="120"/>
        <w:ind w:firstLine="420"/>
        <w:rPr>
          <w:rFonts w:ascii="Times New Roman" w:hAnsi="Times New Roman" w:cs="Times New Roman"/>
        </w:rPr>
      </w:pPr>
      <w:r>
        <w:rPr>
          <w:rFonts w:ascii="Times New Roman" w:hAnsi="Times New Roman" w:cs="Times New Roman"/>
        </w:rPr>
        <w:t>After constructing the knowledge base, documents are vectorized using the BGE-M3</w:t>
      </w:r>
      <w:r>
        <w:rPr>
          <w:rFonts w:ascii="Times New Roman" w:hAnsi="Times New Roman" w:cs="Times New Roman"/>
          <w:vertAlign w:val="superscript"/>
        </w:rPr>
        <w:t>[6]</w:t>
      </w:r>
      <w:r>
        <w:rPr>
          <w:rFonts w:ascii="Times New Roman" w:hAnsi="Times New Roman" w:cs="Times New Roman"/>
        </w:rPr>
        <w:t xml:space="preserve"> model and stored in a FA</w:t>
      </w:r>
      <w:r>
        <w:rPr>
          <w:rFonts w:hint="eastAsia" w:ascii="Times New Roman" w:hAnsi="Times New Roman" w:cs="Times New Roman"/>
          <w:lang w:val="en-US" w:eastAsia="zh-CN"/>
        </w:rPr>
        <w:t>SI</w:t>
      </w:r>
      <w:r>
        <w:rPr>
          <w:rFonts w:ascii="Times New Roman" w:hAnsi="Times New Roman" w:cs="Times New Roman"/>
        </w:rPr>
        <w:t>S database. During the retrieval phase, the system first indexes the 50 most similar text vectors from the FA</w:t>
      </w:r>
      <w:r>
        <w:rPr>
          <w:rFonts w:hint="eastAsia" w:ascii="Times New Roman" w:hAnsi="Times New Roman" w:cs="Times New Roman"/>
          <w:lang w:val="en-US" w:eastAsia="zh-CN"/>
        </w:rPr>
        <w:t>SI</w:t>
      </w:r>
      <w:r>
        <w:rPr>
          <w:rFonts w:ascii="Times New Roman" w:hAnsi="Times New Roman" w:cs="Times New Roman"/>
        </w:rPr>
        <w:t>S database. Then, a reranking method is employed to obtain the top 3 most similar results, which are used as context for the query.</w:t>
      </w:r>
    </w:p>
    <w:p w14:paraId="183FE7E0">
      <w:pPr>
        <w:pStyle w:val="4"/>
        <w:bidi w:val="0"/>
      </w:pPr>
      <w:r>
        <w:rPr>
          <w:rFonts w:hint="eastAsia"/>
        </w:rPr>
        <w:t>2</w:t>
      </w:r>
      <w:r>
        <w:t>.3 Two-Stage Fine-Tuning Framework</w:t>
      </w:r>
    </w:p>
    <w:p w14:paraId="7FAB7D7D">
      <w:pPr>
        <w:spacing w:after="120"/>
        <w:ind w:firstLine="420"/>
        <w:rPr>
          <w:rFonts w:ascii="Times New Roman" w:hAnsi="Times New Roman" w:cs="Times New Roman"/>
        </w:rPr>
      </w:pPr>
      <w:r>
        <w:rPr>
          <w:rFonts w:ascii="Times New Roman" w:hAnsi="Times New Roman" w:cs="Times New Roman"/>
        </w:rPr>
        <w:t>The two-stage fine-tuning framework is inspired by ChatQA</w:t>
      </w:r>
      <w:r>
        <w:rPr>
          <w:rFonts w:ascii="Times New Roman" w:hAnsi="Times New Roman" w:cs="Times New Roman"/>
          <w:vertAlign w:val="superscript"/>
        </w:rPr>
        <w:t>[7]</w:t>
      </w:r>
      <w:r>
        <w:rPr>
          <w:rFonts w:ascii="Times New Roman" w:hAnsi="Times New Roman" w:cs="Times New Roman"/>
        </w:rPr>
        <w:t>, a method designed for extracting information from chat interactions. When the chat information exceeds the input limit of the large model, RAG is used to incorporate the chat context into the prompt. Although this competition does not involve chat data, a similar fine-tuning framework can still be applied. This paper uses the Phi2-2.7B model as an example to demonstrate the fine-tuning approach.</w:t>
      </w:r>
    </w:p>
    <w:p w14:paraId="16F3EA42">
      <w:pPr>
        <w:pStyle w:val="3"/>
        <w:bidi w:val="0"/>
      </w:pPr>
      <w:bookmarkStart w:id="0" w:name="_GoBack"/>
      <w:bookmarkEnd w:id="0"/>
      <w:r>
        <w:rPr>
          <w:rFonts w:hint="eastAsia"/>
        </w:rPr>
        <w:t>3</w:t>
      </w:r>
      <w:r>
        <w:t>. Model Experiments</w:t>
      </w:r>
    </w:p>
    <w:p w14:paraId="715D2D7E">
      <w:pPr>
        <w:spacing w:after="120"/>
        <w:ind w:firstLine="420"/>
        <w:rPr>
          <w:rFonts w:ascii="Times New Roman" w:hAnsi="Times New Roman" w:cs="Times New Roman"/>
        </w:rPr>
      </w:pPr>
      <w:r>
        <w:rPr>
          <w:rFonts w:ascii="Times New Roman" w:hAnsi="Times New Roman" w:cs="Times New Roman"/>
        </w:rPr>
        <w:t>The model experiments utilize the Phi2-2.7B model and include the following ablation studies:</w:t>
      </w:r>
    </w:p>
    <w:p w14:paraId="15E1B3D9">
      <w:pPr>
        <w:pStyle w:val="6"/>
        <w:keepNext/>
        <w:jc w:val="center"/>
        <w:rPr>
          <w:rFonts w:hint="default" w:eastAsia="黑体"/>
          <w:lang w:val="en-US" w:eastAsia="zh-CN"/>
        </w:rPr>
      </w:pPr>
      <w:r>
        <w:t xml:space="preserve">Table </w:t>
      </w:r>
      <w:r>
        <w:fldChar w:fldCharType="begin"/>
      </w:r>
      <w:r>
        <w:instrText xml:space="preserve"> SEQ Table \* ARABIC </w:instrText>
      </w:r>
      <w:r>
        <w:fldChar w:fldCharType="separate"/>
      </w:r>
      <w:r>
        <w:t>1</w:t>
      </w:r>
      <w:r>
        <w:fldChar w:fldCharType="end"/>
      </w:r>
      <w:r>
        <w:rPr>
          <w:rFonts w:hint="eastAsia"/>
          <w:lang w:val="en-US" w:eastAsia="zh-CN"/>
        </w:rPr>
        <w:t xml:space="preserve"> </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0"/>
        <w:gridCol w:w="1488"/>
      </w:tblGrid>
      <w:tr w14:paraId="09E4D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1C13C1A0">
            <w:pPr>
              <w:widowControl/>
              <w:rPr>
                <w:rFonts w:hint="eastAsia"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Prediction Method</w:t>
            </w:r>
          </w:p>
        </w:tc>
        <w:tc>
          <w:tcPr>
            <w:tcW w:w="0" w:type="auto"/>
          </w:tcPr>
          <w:p w14:paraId="3CF7CF9F">
            <w:pPr>
              <w:spacing w:after="120"/>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Accuracy Score</w:t>
            </w:r>
          </w:p>
        </w:tc>
      </w:tr>
      <w:tr w14:paraId="657D0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C4A0877">
            <w:pPr>
              <w:spacing w:after="120"/>
              <w:rPr>
                <w:rFonts w:ascii="Times New Roman" w:hAnsi="Times New Roman" w:eastAsia="宋体" w:cs="Times New Roman"/>
                <w:kern w:val="0"/>
                <w:sz w:val="20"/>
                <w:szCs w:val="20"/>
              </w:rPr>
            </w:pPr>
            <w:r>
              <w:rPr>
                <w:rFonts w:ascii="Times New Roman" w:hAnsi="Times New Roman" w:eastAsia="宋体" w:cs="Times New Roman"/>
                <w:kern w:val="0"/>
                <w:sz w:val="20"/>
                <w:szCs w:val="20"/>
              </w:rPr>
              <w:t>Phi2 Direct Prediction</w:t>
            </w:r>
          </w:p>
        </w:tc>
        <w:tc>
          <w:tcPr>
            <w:tcW w:w="0" w:type="auto"/>
          </w:tcPr>
          <w:p w14:paraId="2F337E32">
            <w:pPr>
              <w:spacing w:after="120"/>
              <w:ind w:firstLine="420"/>
              <w:rPr>
                <w:rFonts w:ascii="Times New Roman" w:hAnsi="Times New Roman" w:eastAsia="宋体" w:cs="Times New Roman"/>
                <w:kern w:val="0"/>
                <w:sz w:val="20"/>
                <w:szCs w:val="20"/>
              </w:rPr>
            </w:pPr>
            <w:r>
              <w:rPr>
                <w:rFonts w:ascii="Times New Roman" w:hAnsi="Times New Roman" w:eastAsia="宋体" w:cs="Times New Roman"/>
                <w:kern w:val="0"/>
                <w:sz w:val="20"/>
                <w:szCs w:val="20"/>
              </w:rPr>
              <w:t>46%</w:t>
            </w:r>
          </w:p>
        </w:tc>
      </w:tr>
      <w:tr w14:paraId="6DE39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8FB204F">
            <w:pPr>
              <w:spacing w:after="120"/>
              <w:rPr>
                <w:rFonts w:ascii="Times New Roman" w:hAnsi="Times New Roman" w:eastAsia="宋体" w:cs="Times New Roman"/>
                <w:kern w:val="0"/>
                <w:sz w:val="20"/>
                <w:szCs w:val="20"/>
              </w:rPr>
            </w:pPr>
            <w:r>
              <w:rPr>
                <w:rFonts w:ascii="Times New Roman" w:hAnsi="Times New Roman" w:eastAsia="宋体" w:cs="Times New Roman"/>
                <w:kern w:val="0"/>
                <w:sz w:val="20"/>
                <w:szCs w:val="20"/>
              </w:rPr>
              <w:t>Phi2 + RAG</w:t>
            </w:r>
          </w:p>
        </w:tc>
        <w:tc>
          <w:tcPr>
            <w:tcW w:w="0" w:type="auto"/>
          </w:tcPr>
          <w:p w14:paraId="25133BA3">
            <w:pPr>
              <w:spacing w:after="120"/>
              <w:ind w:firstLine="420"/>
              <w:rPr>
                <w:rFonts w:ascii="Times New Roman" w:hAnsi="Times New Roman" w:eastAsia="宋体" w:cs="Times New Roman"/>
                <w:kern w:val="0"/>
                <w:sz w:val="20"/>
                <w:szCs w:val="20"/>
              </w:rPr>
            </w:pPr>
            <w:r>
              <w:rPr>
                <w:rFonts w:ascii="Times New Roman" w:hAnsi="Times New Roman" w:eastAsia="宋体" w:cs="Times New Roman"/>
                <w:kern w:val="0"/>
                <w:sz w:val="20"/>
                <w:szCs w:val="20"/>
              </w:rPr>
              <w:t>42%</w:t>
            </w:r>
          </w:p>
        </w:tc>
      </w:tr>
      <w:tr w14:paraId="377B9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EAD43BB">
            <w:pPr>
              <w:spacing w:after="120"/>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Phi2 Original </w:t>
            </w:r>
            <w:r>
              <w:rPr>
                <w:rFonts w:hint="eastAsia" w:ascii="Times New Roman" w:hAnsi="Times New Roman" w:eastAsia="宋体" w:cs="Times New Roman"/>
                <w:kern w:val="0"/>
                <w:sz w:val="20"/>
                <w:szCs w:val="20"/>
                <w:lang w:val="en-US" w:eastAsia="zh-CN"/>
              </w:rPr>
              <w:t xml:space="preserve">Train </w:t>
            </w:r>
            <w:r>
              <w:rPr>
                <w:rFonts w:ascii="Times New Roman" w:hAnsi="Times New Roman" w:eastAsia="宋体" w:cs="Times New Roman"/>
                <w:kern w:val="0"/>
                <w:sz w:val="20"/>
                <w:szCs w:val="20"/>
              </w:rPr>
              <w:t>Data Fine-Tuning</w:t>
            </w:r>
          </w:p>
        </w:tc>
        <w:tc>
          <w:tcPr>
            <w:tcW w:w="0" w:type="auto"/>
          </w:tcPr>
          <w:p w14:paraId="680C35DF">
            <w:pPr>
              <w:spacing w:after="120"/>
              <w:ind w:firstLine="420"/>
              <w:rPr>
                <w:rFonts w:ascii="Times New Roman" w:hAnsi="Times New Roman" w:eastAsia="宋体" w:cs="Times New Roman"/>
                <w:kern w:val="0"/>
                <w:sz w:val="20"/>
                <w:szCs w:val="20"/>
              </w:rPr>
            </w:pPr>
            <w:r>
              <w:rPr>
                <w:rFonts w:ascii="Times New Roman" w:hAnsi="Times New Roman" w:eastAsia="宋体" w:cs="Times New Roman"/>
                <w:kern w:val="0"/>
                <w:sz w:val="20"/>
                <w:szCs w:val="20"/>
              </w:rPr>
              <w:t>70.76%</w:t>
            </w:r>
          </w:p>
        </w:tc>
      </w:tr>
      <w:tr w14:paraId="788C9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C48C5A6">
            <w:pPr>
              <w:spacing w:after="120"/>
              <w:rPr>
                <w:rFonts w:ascii="Times New Roman" w:hAnsi="Times New Roman" w:eastAsia="宋体" w:cs="Times New Roman"/>
                <w:kern w:val="0"/>
                <w:sz w:val="20"/>
                <w:szCs w:val="20"/>
              </w:rPr>
            </w:pPr>
            <w:r>
              <w:rPr>
                <w:rFonts w:ascii="Times New Roman" w:hAnsi="Times New Roman" w:eastAsia="宋体" w:cs="Times New Roman"/>
                <w:kern w:val="0"/>
                <w:sz w:val="20"/>
                <w:szCs w:val="20"/>
              </w:rPr>
              <w:t>Phi2 + RAG Direct Fine-Tuning</w:t>
            </w:r>
          </w:p>
        </w:tc>
        <w:tc>
          <w:tcPr>
            <w:tcW w:w="0" w:type="auto"/>
          </w:tcPr>
          <w:p w14:paraId="2ED33B09">
            <w:pPr>
              <w:spacing w:after="120"/>
              <w:ind w:firstLine="420"/>
              <w:rPr>
                <w:rFonts w:ascii="Times New Roman" w:hAnsi="Times New Roman" w:eastAsia="宋体" w:cs="Times New Roman"/>
                <w:kern w:val="0"/>
                <w:sz w:val="20"/>
                <w:szCs w:val="20"/>
              </w:rPr>
            </w:pPr>
            <w:r>
              <w:rPr>
                <w:rFonts w:ascii="Times New Roman" w:hAnsi="Times New Roman" w:eastAsia="宋体" w:cs="Times New Roman"/>
                <w:kern w:val="0"/>
                <w:sz w:val="20"/>
                <w:szCs w:val="20"/>
              </w:rPr>
              <w:t>7</w:t>
            </w:r>
            <w:r>
              <w:rPr>
                <w:rFonts w:hint="eastAsia" w:ascii="Times New Roman" w:hAnsi="Times New Roman" w:eastAsia="宋体" w:cs="Times New Roman"/>
                <w:kern w:val="0"/>
                <w:sz w:val="20"/>
                <w:szCs w:val="20"/>
                <w:lang w:val="en-US" w:eastAsia="zh-CN"/>
              </w:rPr>
              <w:t>6</w:t>
            </w:r>
            <w:r>
              <w:rPr>
                <w:rFonts w:ascii="Times New Roman" w:hAnsi="Times New Roman" w:eastAsia="宋体" w:cs="Times New Roman"/>
                <w:kern w:val="0"/>
                <w:sz w:val="20"/>
                <w:szCs w:val="20"/>
              </w:rPr>
              <w:t>.7</w:t>
            </w:r>
            <w:r>
              <w:rPr>
                <w:rFonts w:hint="eastAsia" w:ascii="Times New Roman" w:hAnsi="Times New Roman" w:eastAsia="宋体" w:cs="Times New Roman"/>
                <w:kern w:val="0"/>
                <w:sz w:val="20"/>
                <w:szCs w:val="20"/>
                <w:lang w:val="en-US" w:eastAsia="zh-CN"/>
              </w:rPr>
              <w:t>1</w:t>
            </w:r>
            <w:r>
              <w:rPr>
                <w:rFonts w:ascii="Times New Roman" w:hAnsi="Times New Roman" w:eastAsia="宋体" w:cs="Times New Roman"/>
                <w:kern w:val="0"/>
                <w:sz w:val="20"/>
                <w:szCs w:val="20"/>
              </w:rPr>
              <w:t>%</w:t>
            </w:r>
          </w:p>
        </w:tc>
      </w:tr>
      <w:tr w14:paraId="3C216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4ACEF6F">
            <w:pPr>
              <w:spacing w:after="120"/>
              <w:rPr>
                <w:rFonts w:ascii="Times New Roman" w:hAnsi="Times New Roman" w:eastAsia="宋体" w:cs="Times New Roman"/>
                <w:kern w:val="0"/>
                <w:sz w:val="20"/>
                <w:szCs w:val="20"/>
              </w:rPr>
            </w:pPr>
            <w:r>
              <w:rPr>
                <w:rFonts w:ascii="Times New Roman" w:hAnsi="Times New Roman" w:eastAsia="宋体" w:cs="Times New Roman"/>
                <w:kern w:val="0"/>
                <w:sz w:val="20"/>
                <w:szCs w:val="20"/>
              </w:rPr>
              <w:t>Phi2 + RAG Two-Stage Fine-Tuning</w:t>
            </w:r>
          </w:p>
        </w:tc>
        <w:tc>
          <w:tcPr>
            <w:tcW w:w="0" w:type="auto"/>
          </w:tcPr>
          <w:p w14:paraId="396A3FE1">
            <w:pPr>
              <w:spacing w:after="120"/>
              <w:ind w:firstLine="42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80.75</w:t>
            </w:r>
            <w:r>
              <w:rPr>
                <w:rFonts w:ascii="Times New Roman" w:hAnsi="Times New Roman" w:eastAsia="宋体" w:cs="Times New Roman"/>
                <w:kern w:val="0"/>
                <w:sz w:val="20"/>
                <w:szCs w:val="20"/>
              </w:rPr>
              <w:t>%</w:t>
            </w:r>
          </w:p>
        </w:tc>
      </w:tr>
    </w:tbl>
    <w:p w14:paraId="6D66F412">
      <w:pPr>
        <w:bidi w:val="0"/>
        <w:rPr>
          <w:rFonts w:hint="eastAsia"/>
        </w:rPr>
      </w:pPr>
    </w:p>
    <w:p w14:paraId="1B55DAF8">
      <w:pPr>
        <w:pStyle w:val="3"/>
        <w:bidi w:val="0"/>
      </w:pPr>
      <w:r>
        <w:rPr>
          <w:rFonts w:hint="eastAsia"/>
        </w:rPr>
        <w:t>4</w:t>
      </w:r>
      <w:r>
        <w:t>. References</w:t>
      </w:r>
    </w:p>
    <w:p w14:paraId="60DB1509">
      <w:pPr>
        <w:pStyle w:val="23"/>
        <w:numPr>
          <w:ilvl w:val="0"/>
          <w:numId w:val="1"/>
        </w:numPr>
        <w:ind w:firstLineChars="0"/>
      </w:pPr>
      <w:r>
        <w:rPr>
          <w:rFonts w:ascii="Arial" w:hAnsi="Arial" w:cs="Arial"/>
          <w:color w:val="222222"/>
          <w:sz w:val="20"/>
          <w:szCs w:val="20"/>
          <w:shd w:val="clear" w:color="auto" w:fill="FFFFFF"/>
        </w:rPr>
        <w:t>Ovadia O, Brief M, Mishaeli M, et al. Fine-tuning or retrieval? comparing knowledge injection in llms[J]. arXiv preprint arXiv:2312.05934, 2023.</w:t>
      </w:r>
      <w:r>
        <w:rPr>
          <w:rFonts w:ascii="Arial" w:hAnsi="Arial" w:cs="Arial"/>
          <w:color w:val="222222"/>
          <w:sz w:val="20"/>
          <w:szCs w:val="20"/>
          <w:shd w:val="clear" w:color="auto" w:fill="FFFFFF"/>
        </w:rPr>
        <w:tab/>
      </w:r>
    </w:p>
    <w:p w14:paraId="4527E085">
      <w:pPr>
        <w:pStyle w:val="23"/>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Gao, L., Dai, Z., Callan, J. (2021). Rethink Training of BERT Rerankers in Multi-stage Retrieval Pipeline. In: Hiemstra, D., Moens, MF., Mothe, J., Perego, R., Potthast, M., Sebastiani, F. (eds) Advances in Information Retrieval. ECIR 2021. Lecture Notes in Computer Science(), vol 12657. Springer, Cham. </w:t>
      </w:r>
      <w:r>
        <w:fldChar w:fldCharType="begin"/>
      </w:r>
      <w:r>
        <w:instrText xml:space="preserve"> HYPERLINK "https://doi.org/10.1007/978-3-030-72240-1_26" </w:instrText>
      </w:r>
      <w:r>
        <w:fldChar w:fldCharType="separate"/>
      </w:r>
      <w:r>
        <w:rPr>
          <w:rFonts w:ascii="Arial" w:hAnsi="Arial" w:cs="Arial"/>
          <w:color w:val="222222"/>
          <w:sz w:val="20"/>
          <w:szCs w:val="20"/>
        </w:rPr>
        <w:t>https://doi.org/10.1007/978-3-030-72240-1_26</w:t>
      </w:r>
      <w:r>
        <w:rPr>
          <w:rFonts w:ascii="Arial" w:hAnsi="Arial" w:cs="Arial"/>
          <w:color w:val="222222"/>
          <w:sz w:val="20"/>
          <w:szCs w:val="20"/>
        </w:rPr>
        <w:fldChar w:fldCharType="end"/>
      </w:r>
    </w:p>
    <w:p w14:paraId="02097D40">
      <w:pPr>
        <w:pStyle w:val="23"/>
        <w:numPr>
          <w:ilvl w:val="0"/>
          <w:numId w:val="1"/>
        </w:numPr>
        <w:ind w:firstLineChars="0"/>
      </w:pPr>
      <w:r>
        <w:rPr>
          <w:rFonts w:ascii="Arial" w:hAnsi="Arial" w:cs="Arial"/>
          <w:color w:val="222222"/>
          <w:sz w:val="20"/>
          <w:szCs w:val="20"/>
          <w:shd w:val="clear" w:color="auto" w:fill="FFFFFF"/>
        </w:rPr>
        <w:t>Nikbakht, R., Benzaghta, M., &amp; Geraci, G. (2024). TSpec-LLM: An Open-source Dataset for LLM Understanding of 3GPP Specifications. </w:t>
      </w:r>
      <w:r>
        <w:rPr>
          <w:rFonts w:ascii="Arial" w:hAnsi="Arial" w:cs="Arial"/>
          <w:i/>
          <w:iCs/>
          <w:color w:val="222222"/>
          <w:sz w:val="20"/>
          <w:szCs w:val="20"/>
          <w:shd w:val="clear" w:color="auto" w:fill="FFFFFF"/>
        </w:rPr>
        <w:t>arXiv preprint arXiv:2406.01768</w:t>
      </w:r>
      <w:r>
        <w:rPr>
          <w:rFonts w:ascii="Arial" w:hAnsi="Arial" w:cs="Arial"/>
          <w:color w:val="222222"/>
          <w:sz w:val="20"/>
          <w:szCs w:val="20"/>
          <w:shd w:val="clear" w:color="auto" w:fill="FFFFFF"/>
        </w:rPr>
        <w:t>.</w:t>
      </w:r>
    </w:p>
    <w:p w14:paraId="6EFC2435">
      <w:pPr>
        <w:pStyle w:val="23"/>
        <w:numPr>
          <w:ilvl w:val="0"/>
          <w:numId w:val="1"/>
        </w:numPr>
        <w:ind w:firstLineChars="0"/>
      </w:pPr>
      <w:r>
        <w:rPr>
          <w:rFonts w:ascii="Arial" w:hAnsi="Arial" w:cs="Arial"/>
          <w:color w:val="222222"/>
          <w:sz w:val="20"/>
          <w:szCs w:val="20"/>
          <w:shd w:val="clear" w:color="auto" w:fill="FFFFFF"/>
        </w:rPr>
        <w:t>Bornea, A. L., Ayed, F., De Domenico, A., Piovesan, N., &amp; Maatouk, A. (2024). Telco-RAG: Navigating the challenges of retrieval-augmented language models for telecommunications. </w:t>
      </w:r>
      <w:r>
        <w:rPr>
          <w:rFonts w:ascii="Arial" w:hAnsi="Arial" w:cs="Arial"/>
          <w:i/>
          <w:iCs/>
          <w:color w:val="222222"/>
          <w:sz w:val="20"/>
          <w:szCs w:val="20"/>
          <w:shd w:val="clear" w:color="auto" w:fill="FFFFFF"/>
        </w:rPr>
        <w:t>arXiv preprint arXiv:2404.15939</w:t>
      </w:r>
      <w:r>
        <w:rPr>
          <w:rFonts w:ascii="Arial" w:hAnsi="Arial" w:cs="Arial"/>
          <w:color w:val="222222"/>
          <w:sz w:val="20"/>
          <w:szCs w:val="20"/>
          <w:shd w:val="clear" w:color="auto" w:fill="FFFFFF"/>
        </w:rPr>
        <w:t>.</w:t>
      </w:r>
    </w:p>
    <w:p w14:paraId="40928FDB">
      <w:pPr>
        <w:pStyle w:val="23"/>
        <w:numPr>
          <w:ilvl w:val="0"/>
          <w:numId w:val="1"/>
        </w:numPr>
        <w:ind w:firstLineChars="0"/>
      </w:pPr>
      <w:r>
        <w:rPr>
          <w:rFonts w:ascii="Arial" w:hAnsi="Arial" w:cs="Arial"/>
          <w:color w:val="222222"/>
          <w:sz w:val="20"/>
          <w:szCs w:val="20"/>
          <w:shd w:val="clear" w:color="auto" w:fill="FFFFFF"/>
        </w:rPr>
        <w:t>Hu, E. J., Shen, Y., Wallis, P., Allen-Zhu, Z., Li, Y., Wang, S., ... &amp; Chen, W. (2021). Lora: Low-rank adaptation of large language models. </w:t>
      </w:r>
      <w:r>
        <w:rPr>
          <w:rFonts w:ascii="Arial" w:hAnsi="Arial" w:cs="Arial"/>
          <w:i/>
          <w:iCs/>
          <w:color w:val="222222"/>
          <w:sz w:val="20"/>
          <w:szCs w:val="20"/>
          <w:shd w:val="clear" w:color="auto" w:fill="FFFFFF"/>
        </w:rPr>
        <w:t>arXiv preprint arXiv:2106.09685</w:t>
      </w:r>
      <w:r>
        <w:rPr>
          <w:rFonts w:ascii="Arial" w:hAnsi="Arial" w:cs="Arial"/>
          <w:color w:val="222222"/>
          <w:sz w:val="20"/>
          <w:szCs w:val="20"/>
          <w:shd w:val="clear" w:color="auto" w:fill="FFFFFF"/>
        </w:rPr>
        <w:t>.</w:t>
      </w:r>
    </w:p>
    <w:p w14:paraId="25637321">
      <w:pPr>
        <w:pStyle w:val="23"/>
        <w:numPr>
          <w:ilvl w:val="0"/>
          <w:numId w:val="1"/>
        </w:numPr>
        <w:ind w:firstLineChars="0"/>
      </w:pPr>
      <w:r>
        <w:rPr>
          <w:rFonts w:ascii="Arial" w:hAnsi="Arial" w:cs="Arial"/>
          <w:color w:val="222222"/>
          <w:sz w:val="20"/>
          <w:szCs w:val="20"/>
          <w:shd w:val="clear" w:color="auto" w:fill="FFFFFF"/>
        </w:rPr>
        <w:t>Hu, E. J., Shen, Y., Wallis, P., Allen-Zhu, Z., Li, Y., Wang, S., ... &amp; Chen, W. (2021). Lora: Low-rank adaptation of large language models. </w:t>
      </w:r>
      <w:r>
        <w:rPr>
          <w:rFonts w:ascii="Arial" w:hAnsi="Arial" w:cs="Arial"/>
          <w:i/>
          <w:iCs/>
          <w:color w:val="222222"/>
          <w:sz w:val="20"/>
          <w:szCs w:val="20"/>
          <w:shd w:val="clear" w:color="auto" w:fill="FFFFFF"/>
        </w:rPr>
        <w:t>arXiv preprint arXiv:2106.09685</w:t>
      </w:r>
      <w:r>
        <w:rPr>
          <w:rFonts w:ascii="Arial" w:hAnsi="Arial" w:cs="Arial"/>
          <w:color w:val="222222"/>
          <w:sz w:val="20"/>
          <w:szCs w:val="20"/>
          <w:shd w:val="clear" w:color="auto" w:fill="FFFFFF"/>
        </w:rPr>
        <w:t>.</w:t>
      </w:r>
    </w:p>
    <w:p w14:paraId="6880A547">
      <w:pPr>
        <w:pStyle w:val="23"/>
        <w:numPr>
          <w:ilvl w:val="0"/>
          <w:numId w:val="1"/>
        </w:numPr>
        <w:ind w:firstLineChars="0"/>
        <w:rPr>
          <w:rFonts w:hint="eastAsia"/>
        </w:rPr>
      </w:pPr>
      <w:r>
        <w:rPr>
          <w:rFonts w:ascii="Arial" w:hAnsi="Arial" w:cs="Arial"/>
          <w:color w:val="222222"/>
          <w:sz w:val="20"/>
          <w:szCs w:val="20"/>
          <w:shd w:val="clear" w:color="auto" w:fill="FFFFFF"/>
        </w:rPr>
        <w:t>Liu, Z., Ping, W., Roy, R., Xu, P., Lee, C., Shoeybi, M., &amp; Catanzaro, B. (2024). Chatqa: Surpassing gpt-4 on conversational qa and rag. </w:t>
      </w:r>
      <w:r>
        <w:rPr>
          <w:rFonts w:ascii="Arial" w:hAnsi="Arial" w:cs="Arial"/>
          <w:i/>
          <w:iCs/>
          <w:color w:val="222222"/>
          <w:sz w:val="20"/>
          <w:szCs w:val="20"/>
          <w:shd w:val="clear" w:color="auto" w:fill="FFFFFF"/>
        </w:rPr>
        <w:t>arXiv preprint arXiv:2401.10225</w:t>
      </w:r>
      <w:r>
        <w:rPr>
          <w:rFonts w:ascii="Arial" w:hAnsi="Arial" w:cs="Arial"/>
          <w:color w:val="222222"/>
          <w:sz w:val="20"/>
          <w:szCs w:val="20"/>
          <w:shd w:val="clear" w:color="auto" w:fill="FFFFFF"/>
        </w:rPr>
        <w:t>.</w:t>
      </w:r>
    </w:p>
    <w:p w14:paraId="2885E8BF">
      <w:pPr>
        <w:rPr>
          <w:rFonts w:hint="eastAsia"/>
        </w:rPr>
      </w:pPr>
    </w:p>
    <w:p w14:paraId="1AECB1D0">
      <w:pPr>
        <w:rPr>
          <w:rFonts w:hint="eastAsia"/>
        </w:rPr>
      </w:pPr>
    </w:p>
    <w:p w14:paraId="72BE1DB6">
      <w:pPr>
        <w:rPr>
          <w:rFonts w:hint="eastAsia"/>
        </w:rPr>
      </w:pPr>
    </w:p>
    <w:p w14:paraId="05AD327E">
      <w:pPr>
        <w:rPr>
          <w:rFonts w:hint="eastAsia"/>
        </w:rPr>
      </w:pPr>
    </w:p>
    <w:p w14:paraId="46C4C0B8">
      <w:pPr>
        <w:rPr>
          <w:rFonts w:hint="eastAsia"/>
        </w:rPr>
      </w:pPr>
    </w:p>
    <w:p w14:paraId="0861668C">
      <w:pPr>
        <w:rPr>
          <w:rFonts w:hint="eastAsia"/>
        </w:rPr>
      </w:pPr>
    </w:p>
    <w:p w14:paraId="0CDA01F4">
      <w:pPr>
        <w:rPr>
          <w:rFonts w:hint="eastAsia"/>
        </w:rPr>
      </w:pPr>
    </w:p>
    <w:p w14:paraId="141697A9">
      <w:pPr>
        <w:rPr>
          <w:rFonts w:hint="eastAsia"/>
        </w:rPr>
      </w:pPr>
    </w:p>
    <w:p w14:paraId="3B36615F">
      <w:pPr>
        <w:rPr>
          <w:rFonts w:hint="eastAsia"/>
        </w:rPr>
      </w:pPr>
    </w:p>
    <w:p w14:paraId="7A53C313">
      <w:pPr>
        <w:rPr>
          <w:rFonts w:hint="eastAsia"/>
        </w:rPr>
      </w:pPr>
    </w:p>
    <w:p w14:paraId="262BF6F1">
      <w:pPr>
        <w:rPr>
          <w:rFonts w:hint="eastAsia"/>
        </w:rPr>
      </w:pPr>
    </w:p>
    <w:p w14:paraId="3516CD01">
      <w:pPr>
        <w:rPr>
          <w:rFonts w:hint="eastAsia"/>
        </w:rPr>
      </w:pPr>
    </w:p>
    <w:p w14:paraId="538F1740">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21C3E"/>
    <w:multiLevelType w:val="multilevel"/>
    <w:tmpl w:val="08321C3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wMzgzMWVlYjdlMTA0NzM1ZjQ4ZmYxYmUwNWI4MjYifQ=="/>
  </w:docVars>
  <w:rsids>
    <w:rsidRoot w:val="00E37FFA"/>
    <w:rsid w:val="00026765"/>
    <w:rsid w:val="00062ACD"/>
    <w:rsid w:val="00081100"/>
    <w:rsid w:val="000D46F3"/>
    <w:rsid w:val="002517EE"/>
    <w:rsid w:val="00291D0E"/>
    <w:rsid w:val="00487304"/>
    <w:rsid w:val="00487F2A"/>
    <w:rsid w:val="004B14BB"/>
    <w:rsid w:val="005F5BE5"/>
    <w:rsid w:val="008F3D72"/>
    <w:rsid w:val="00900DA8"/>
    <w:rsid w:val="009678EB"/>
    <w:rsid w:val="00A7019B"/>
    <w:rsid w:val="00BA0D1B"/>
    <w:rsid w:val="00DC2AE1"/>
    <w:rsid w:val="00E22394"/>
    <w:rsid w:val="00E37FFA"/>
    <w:rsid w:val="00E74537"/>
    <w:rsid w:val="00F11354"/>
    <w:rsid w:val="00F558D1"/>
    <w:rsid w:val="018D2034"/>
    <w:rsid w:val="0A222B45"/>
    <w:rsid w:val="139C49F3"/>
    <w:rsid w:val="166E7112"/>
    <w:rsid w:val="242A719B"/>
    <w:rsid w:val="2FB51A54"/>
    <w:rsid w:val="3D474D04"/>
    <w:rsid w:val="445A1020"/>
    <w:rsid w:val="532A16EF"/>
    <w:rsid w:val="73861D54"/>
    <w:rsid w:val="75570DEF"/>
    <w:rsid w:val="7A304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semiHidden/>
    <w:unhideWhenUsed/>
    <w:qFormat/>
    <w:uiPriority w:val="99"/>
    <w:pPr>
      <w:snapToGrid w:val="0"/>
      <w:jc w:val="left"/>
    </w:pPr>
    <w:rPr>
      <w:sz w:val="18"/>
      <w:szCs w:val="18"/>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styleId="15">
    <w:name w:val="HTML Code"/>
    <w:basedOn w:val="13"/>
    <w:unhideWhenUsed/>
    <w:qFormat/>
    <w:uiPriority w:val="99"/>
    <w:rPr>
      <w:rFonts w:ascii="宋体" w:hAnsi="宋体" w:eastAsia="宋体" w:cs="宋体"/>
      <w:sz w:val="24"/>
      <w:szCs w:val="24"/>
    </w:rPr>
  </w:style>
  <w:style w:type="character" w:styleId="16">
    <w:name w:val="footnote reference"/>
    <w:basedOn w:val="13"/>
    <w:semiHidden/>
    <w:unhideWhenUsed/>
    <w:qFormat/>
    <w:uiPriority w:val="99"/>
    <w:rPr>
      <w:vertAlign w:val="superscript"/>
    </w:rPr>
  </w:style>
  <w:style w:type="character" w:customStyle="1" w:styleId="17">
    <w:name w:val="页眉 字符"/>
    <w:basedOn w:val="13"/>
    <w:link w:val="8"/>
    <w:uiPriority w:val="99"/>
    <w:rPr>
      <w:sz w:val="18"/>
      <w:szCs w:val="18"/>
    </w:rPr>
  </w:style>
  <w:style w:type="character" w:customStyle="1" w:styleId="18">
    <w:name w:val="页脚 字符"/>
    <w:basedOn w:val="13"/>
    <w:link w:val="7"/>
    <w:qFormat/>
    <w:uiPriority w:val="99"/>
    <w:rPr>
      <w:sz w:val="18"/>
      <w:szCs w:val="18"/>
    </w:rPr>
  </w:style>
  <w:style w:type="character" w:customStyle="1" w:styleId="19">
    <w:name w:val="标题 1 字符"/>
    <w:basedOn w:val="13"/>
    <w:link w:val="2"/>
    <w:qFormat/>
    <w:uiPriority w:val="9"/>
    <w:rPr>
      <w:b/>
      <w:bCs/>
      <w:kern w:val="44"/>
      <w:sz w:val="44"/>
      <w:szCs w:val="44"/>
    </w:rPr>
  </w:style>
  <w:style w:type="character" w:customStyle="1" w:styleId="20">
    <w:name w:val="标题 2 字符"/>
    <w:basedOn w:val="13"/>
    <w:link w:val="3"/>
    <w:qFormat/>
    <w:uiPriority w:val="9"/>
    <w:rPr>
      <w:rFonts w:asciiTheme="majorHAnsi" w:hAnsiTheme="majorHAnsi" w:eastAsiaTheme="majorEastAsia" w:cstheme="majorBidi"/>
      <w:b/>
      <w:bCs/>
      <w:sz w:val="32"/>
      <w:szCs w:val="32"/>
    </w:rPr>
  </w:style>
  <w:style w:type="character" w:customStyle="1" w:styleId="21">
    <w:name w:val="标题 3 字符"/>
    <w:basedOn w:val="13"/>
    <w:link w:val="4"/>
    <w:qFormat/>
    <w:uiPriority w:val="9"/>
    <w:rPr>
      <w:b/>
      <w:bCs/>
      <w:sz w:val="32"/>
      <w:szCs w:val="32"/>
    </w:rPr>
  </w:style>
  <w:style w:type="character" w:customStyle="1" w:styleId="22">
    <w:name w:val="脚注文本 字符"/>
    <w:basedOn w:val="13"/>
    <w:link w:val="9"/>
    <w:semiHidden/>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Unresolved Mention"/>
    <w:basedOn w:val="1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AF093-6760-4FA3-A82A-157522D418CB}">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1245</Words>
  <Characters>7447</Characters>
  <Lines>63</Lines>
  <Paragraphs>17</Paragraphs>
  <TotalTime>6</TotalTime>
  <ScaleCrop>false</ScaleCrop>
  <LinksUpToDate>false</LinksUpToDate>
  <CharactersWithSpaces>8649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2024-07-29T07:08:00Z</dcterms:created>
  <dc:creator>刘 虎</dc:creator>
  <cp:lastModifiedBy>淡漠星光</cp:lastModifiedBy>
  <dcterms:modified xsi:type="dcterms:W3CDTF">2024-08-01T01:27:42Z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B84B59C81BD1414FA9F849E31CC4086B_12</vt:lpwstr>
  </property>
</Properties>
</file>