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tessryx-executive-summary"/>
    <w:p>
      <w:pPr>
        <w:pStyle w:val="Heading1"/>
      </w:pPr>
      <w:r>
        <w:t xml:space="preserve">TESSRYX Executive Summary</w:t>
      </w:r>
    </w:p>
    <w:p>
      <w:pPr>
        <w:pStyle w:val="FirstParagraph"/>
      </w:pPr>
      <w:r>
        <w:rPr>
          <w:b/>
          <w:bCs/>
        </w:rPr>
        <w:t xml:space="preserve">Universal Dependency Intelligence Infrastructure</w:t>
      </w:r>
    </w:p>
    <w:p>
      <w:pPr>
        <w:pStyle w:val="BodyText"/>
      </w:pPr>
      <w:r>
        <w:rPr>
          <w:b/>
          <w:bCs/>
        </w:rPr>
        <w:t xml:space="preserve">Tagline:</w:t>
      </w:r>
      <w:r>
        <w:t xml:space="preserve"> </w:t>
      </w:r>
      <w:r>
        <w:t xml:space="preserve">Build Certain.</w:t>
      </w:r>
    </w:p>
    <w:p>
      <w:r>
        <w:pict>
          <v:rect style="width:0;height:1.5pt" o:hralign="center" o:hrstd="t" o:hr="t"/>
        </w:pict>
      </w:r>
    </w:p>
    <w:bookmarkStart w:id="9" w:name="the-opportunity"/>
    <w:p>
      <w:pPr>
        <w:pStyle w:val="Heading2"/>
      </w:pPr>
      <w:r>
        <w:t xml:space="preserve">The Opportunity</w:t>
      </w:r>
    </w:p>
    <w:p>
      <w:pPr>
        <w:pStyle w:val="FirstParagraph"/>
      </w:pPr>
      <w:r>
        <w:t xml:space="preserve">The software supply chain is broken. With 90% of modern applications composed of third-party dependencies (Sonatype 2024), organizations face a crisis of visibility and control. Supply chain attacks increased 156% year-over-year, with over 704,000 malicious packages identified in 2024 alone. Yet existing tools only detect problems after they occur—they cannot prove a solution will work before execution.</w:t>
      </w:r>
    </w:p>
    <w:p>
      <w:pPr>
        <w:pStyle w:val="BodyText"/>
      </w:pPr>
      <w:r>
        <w:t xml:space="preserve">TESSRYX transforms dependency management from reactive firefighting into proactive certainty through formal verification and constraint solving. We provide mathematical proof that upgrade plans work before execution, eliminating integration hell and supply chain uncertainty.</w:t>
      </w:r>
    </w:p>
    <w:p>
      <w:r>
        <w:pict>
          <v:rect style="width:0;height:1.5pt" o:hralign="center" o:hrstd="t" o:hr="t"/>
        </w:pict>
      </w:r>
    </w:p>
    <w:bookmarkEnd w:id="9"/>
    <w:bookmarkStart w:id="10" w:name="the-problem"/>
    <w:p>
      <w:pPr>
        <w:pStyle w:val="Heading2"/>
      </w:pPr>
      <w:r>
        <w:t xml:space="preserve">The Problem</w:t>
      </w:r>
    </w:p>
    <w:p>
      <w:pPr>
        <w:pStyle w:val="FirstParagraph"/>
      </w:pPr>
      <w:r>
        <w:rPr>
          <w:b/>
          <w:bCs/>
        </w:rPr>
        <w:t xml:space="preserve">Current State: Hope-Based Dependency Management</w:t>
      </w:r>
    </w:p>
    <w:p>
      <w:pPr>
        <w:pStyle w:val="Compact"/>
        <w:numPr>
          <w:ilvl w:val="0"/>
          <w:numId w:val="1001"/>
        </w:numPr>
      </w:pPr>
      <w:r>
        <w:rPr>
          <w:b/>
          <w:bCs/>
        </w:rPr>
        <w:t xml:space="preserve">No Proof of Correctness:</w:t>
      </w:r>
      <w:r>
        <w:t xml:space="preserve"> </w:t>
      </w:r>
      <w:r>
        <w:t xml:space="preserve">Tools suggest updates with heuristics, not mathematical guarantees</w:t>
      </w:r>
    </w:p>
    <w:p>
      <w:pPr>
        <w:pStyle w:val="Compact"/>
        <w:numPr>
          <w:ilvl w:val="0"/>
          <w:numId w:val="1001"/>
        </w:numPr>
      </w:pPr>
      <w:r>
        <w:rPr>
          <w:b/>
          <w:bCs/>
        </w:rPr>
        <w:t xml:space="preserve">Discover Conflicts After Merge:</w:t>
      </w:r>
      <w:r>
        <w:t xml:space="preserve"> </w:t>
      </w:r>
      <w:r>
        <w:t xml:space="preserve">Integration failures found in CI/CD, not before planning</w:t>
      </w:r>
    </w:p>
    <w:p>
      <w:pPr>
        <w:pStyle w:val="Compact"/>
        <w:numPr>
          <w:ilvl w:val="0"/>
          <w:numId w:val="1001"/>
        </w:numPr>
      </w:pPr>
      <w:r>
        <w:rPr>
          <w:b/>
          <w:bCs/>
        </w:rPr>
        <w:t xml:space="preserve">Local Optimization:</w:t>
      </w:r>
      <w:r>
        <w:t xml:space="preserve"> </w:t>
      </w:r>
      <w:r>
        <w:t xml:space="preserve">Greedy algorithms miss global dependency graph solutions</w:t>
      </w:r>
    </w:p>
    <w:p>
      <w:pPr>
        <w:pStyle w:val="Compact"/>
        <w:numPr>
          <w:ilvl w:val="0"/>
          <w:numId w:val="1001"/>
        </w:numPr>
      </w:pPr>
      <w:r>
        <w:rPr>
          <w:b/>
          <w:bCs/>
        </w:rPr>
        <w:t xml:space="preserve">Supply Chain Blindness:</w:t>
      </w:r>
      <w:r>
        <w:t xml:space="preserve"> </w:t>
      </w:r>
      <w:r>
        <w:t xml:space="preserve">80% of dependencies remain unupgraded for over a year (Sonatype)</w:t>
      </w:r>
    </w:p>
    <w:p>
      <w:pPr>
        <w:pStyle w:val="Compact"/>
        <w:numPr>
          <w:ilvl w:val="0"/>
          <w:numId w:val="1001"/>
        </w:numPr>
      </w:pPr>
      <w:r>
        <w:rPr>
          <w:b/>
          <w:bCs/>
        </w:rPr>
        <w:t xml:space="preserve">Reactive Security:</w:t>
      </w:r>
      <w:r>
        <w:t xml:space="preserve"> </w:t>
      </w:r>
      <w:r>
        <w:t xml:space="preserve">Vulnerability scanning finds problems but cannot prove fixes are safe</w:t>
      </w:r>
    </w:p>
    <w:p>
      <w:pPr>
        <w:pStyle w:val="FirstParagraph"/>
      </w:pPr>
      <w:r>
        <w:rPr>
          <w:b/>
          <w:bCs/>
        </w:rPr>
        <w:t xml:space="preserve">Impact:</w:t>
      </w:r>
      <w:r>
        <w:t xml:space="preserve"> </w:t>
      </w:r>
      <w:r>
        <w:t xml:space="preserve">Organizations delay critical security updates for months due to fear of breaking changes. When attacks like Log4Shell, SolarWinds, or XZ Utils occur, organizations cannot quickly upgrade because they lack confidence in their dependency graphs.</w:t>
      </w:r>
    </w:p>
    <w:p>
      <w:r>
        <w:pict>
          <v:rect style="width:0;height:1.5pt" o:hralign="center" o:hrstd="t" o:hr="t"/>
        </w:pict>
      </w:r>
    </w:p>
    <w:bookmarkEnd w:id="10"/>
    <w:bookmarkStart w:id="12" w:name="the-tessryx-solution"/>
    <w:p>
      <w:pPr>
        <w:pStyle w:val="Heading2"/>
      </w:pPr>
      <w:r>
        <w:t xml:space="preserve">The TESSRYX Solution</w:t>
      </w:r>
    </w:p>
    <w:p>
      <w:pPr>
        <w:pStyle w:val="FirstParagraph"/>
      </w:pPr>
      <w:r>
        <w:rPr>
          <w:b/>
          <w:bCs/>
        </w:rPr>
        <w:t xml:space="preserve">Graph + Constraints + Evidence = Proof</w:t>
      </w:r>
    </w:p>
    <w:p>
      <w:pPr>
        <w:pStyle w:val="BodyText"/>
      </w:pPr>
      <w:r>
        <w:t xml:space="preserve">TESSRYX provides a Universal Dependency Intelligence Infrastructure that:</w:t>
      </w:r>
    </w:p>
    <w:p>
      <w:pPr>
        <w:numPr>
          <w:ilvl w:val="0"/>
          <w:numId w:val="1002"/>
        </w:numPr>
      </w:pPr>
      <w:r>
        <w:rPr>
          <w:b/>
          <w:bCs/>
        </w:rPr>
        <w:t xml:space="preserve">Analyzes</w:t>
      </w:r>
      <w:r>
        <w:t xml:space="preserve"> </w:t>
      </w:r>
      <w:r>
        <w:t xml:space="preserve">dependency metadata from package managers (npm, PyPI, Maven, Cargo) and converts to TessIR (our open intermediate representation)</w:t>
      </w:r>
    </w:p>
    <w:p>
      <w:pPr>
        <w:numPr>
          <w:ilvl w:val="0"/>
          <w:numId w:val="1002"/>
        </w:numPr>
      </w:pPr>
      <w:r>
        <w:rPr>
          <w:b/>
          <w:bCs/>
        </w:rPr>
        <w:t xml:space="preserve">Proves</w:t>
      </w:r>
      <w:r>
        <w:t xml:space="preserve"> </w:t>
      </w:r>
      <w:r>
        <w:t xml:space="preserve">upgrade plans using constraint solvers (Z3, OR-Tools) with formal verification—returning either proof of correctness or proof of impossibility</w:t>
      </w:r>
    </w:p>
    <w:p>
      <w:pPr>
        <w:numPr>
          <w:ilvl w:val="0"/>
          <w:numId w:val="1002"/>
        </w:numPr>
      </w:pPr>
      <w:r>
        <w:rPr>
          <w:b/>
          <w:bCs/>
        </w:rPr>
        <w:t xml:space="preserve">Executes</w:t>
      </w:r>
      <w:r>
        <w:t xml:space="preserve"> </w:t>
      </w:r>
      <w:r>
        <w:t xml:space="preserve">(optionally) with confidence, providing proof-carrying plans and evidence-based trust scores</w:t>
      </w:r>
    </w:p>
    <w:bookmarkStart w:id="11" w:name="key-differentiators"/>
    <w:p>
      <w:pPr>
        <w:pStyle w:val="Heading3"/>
      </w:pPr>
      <w:r>
        <w:t xml:space="preserve">Key Differentiators</w:t>
      </w:r>
    </w:p>
    <w:p>
      <w:pPr>
        <w:pStyle w:val="Compact"/>
        <w:numPr>
          <w:ilvl w:val="0"/>
          <w:numId w:val="1003"/>
        </w:numPr>
      </w:pPr>
      <w:r>
        <w:rPr>
          <w:b/>
          <w:bCs/>
        </w:rPr>
        <w:t xml:space="preserve">Formal Verification:</w:t>
      </w:r>
      <w:r>
        <w:t xml:space="preserve"> </w:t>
      </w:r>
      <w:r>
        <w:t xml:space="preserve">Mathematical proofs, not heuristic guesses</w:t>
      </w:r>
    </w:p>
    <w:p>
      <w:pPr>
        <w:pStyle w:val="Compact"/>
        <w:numPr>
          <w:ilvl w:val="0"/>
          <w:numId w:val="1003"/>
        </w:numPr>
      </w:pPr>
      <w:r>
        <w:rPr>
          <w:b/>
          <w:bCs/>
        </w:rPr>
        <w:t xml:space="preserve">Global Optimization:</w:t>
      </w:r>
      <w:r>
        <w:t xml:space="preserve"> </w:t>
      </w:r>
      <w:r>
        <w:t xml:space="preserve">Solves across entire dependency graph, not one package at a time</w:t>
      </w:r>
    </w:p>
    <w:p>
      <w:pPr>
        <w:pStyle w:val="Compact"/>
        <w:numPr>
          <w:ilvl w:val="0"/>
          <w:numId w:val="1003"/>
        </w:numPr>
      </w:pPr>
      <w:r>
        <w:rPr>
          <w:b/>
          <w:bCs/>
        </w:rPr>
        <w:t xml:space="preserve">Evidence Ledger:</w:t>
      </w:r>
      <w:r>
        <w:t xml:space="preserve"> </w:t>
      </w:r>
      <w:r>
        <w:t xml:space="preserve">Provenance tracking + confidence scoring for every relationship</w:t>
      </w:r>
    </w:p>
    <w:p>
      <w:pPr>
        <w:pStyle w:val="Compact"/>
        <w:numPr>
          <w:ilvl w:val="0"/>
          <w:numId w:val="1003"/>
        </w:numPr>
      </w:pPr>
      <w:r>
        <w:rPr>
          <w:b/>
          <w:bCs/>
        </w:rPr>
        <w:t xml:space="preserve">Open Standard:</w:t>
      </w:r>
      <w:r>
        <w:t xml:space="preserve"> </w:t>
      </w:r>
      <w:r>
        <w:t xml:space="preserve">TessIR creates ecosystem lock-in through openness (like Bloomberg Terminal)</w:t>
      </w:r>
    </w:p>
    <w:p>
      <w:r>
        <w:pict>
          <v:rect style="width:0;height:1.5pt" o:hralign="center" o:hrstd="t" o:hr="t"/>
        </w:pict>
      </w:r>
    </w:p>
    <w:bookmarkEnd w:id="11"/>
    <w:bookmarkEnd w:id="12"/>
    <w:bookmarkStart w:id="13" w:name="market-opportunity"/>
    <w:p>
      <w:pPr>
        <w:pStyle w:val="Heading2"/>
      </w:pPr>
      <w:r>
        <w:t xml:space="preserve">Market Opportunity</w:t>
      </w:r>
    </w:p>
    <w:p>
      <w:pPr>
        <w:pStyle w:val="FirstParagraph"/>
      </w:pPr>
      <w:r>
        <w:rPr>
          <w:b/>
          <w:bCs/>
        </w:rPr>
        <w:t xml:space="preserve">TAM/SAM/SOM</w:t>
      </w:r>
      <w:r>
        <w:t xml:space="preserve"> </w:t>
      </w:r>
      <w:r>
        <w:t xml:space="preserve">(Conservative Estimates)</w:t>
      </w:r>
      <w:r>
        <w:t xml:space="preserve"> </w:t>
      </w:r>
      <w:r>
        <w:t xml:space="preserve">-</w:t>
      </w:r>
      <w:r>
        <w:t xml:space="preserve"> </w:t>
      </w:r>
      <w:r>
        <w:rPr>
          <w:b/>
          <w:bCs/>
        </w:rPr>
        <w:t xml:space="preserve">Total Addressable Market:</w:t>
      </w:r>
      <w:r>
        <w:t xml:space="preserve"> </w:t>
      </w:r>
      <w:r>
        <w:t xml:space="preserve">$20B+ (DevSecOps tools growing 20%+ annually)</w:t>
      </w:r>
      <w:r>
        <w:t xml:space="preserve"> </w:t>
      </w:r>
      <w:r>
        <w:t xml:space="preserve">-</w:t>
      </w:r>
      <w:r>
        <w:t xml:space="preserve"> </w:t>
      </w:r>
      <w:r>
        <w:rPr>
          <w:b/>
          <w:bCs/>
        </w:rPr>
        <w:t xml:space="preserve">Serviceable Addressable Market:</w:t>
      </w:r>
      <w:r>
        <w:t xml:space="preserve"> </w:t>
      </w:r>
      <w:r>
        <w:t xml:space="preserve">$6B+ (organizations with 100+ developers)</w:t>
      </w:r>
      <w:r>
        <w:t xml:space="preserve"> </w:t>
      </w:r>
      <w:r>
        <w:t xml:space="preserve">-</w:t>
      </w:r>
      <w:r>
        <w:t xml:space="preserve"> </w:t>
      </w:r>
      <w:r>
        <w:rPr>
          <w:b/>
          <w:bCs/>
        </w:rPr>
        <w:t xml:space="preserve">Serviceable Obtainable Market (3yr):</w:t>
      </w:r>
      <w:r>
        <w:t xml:space="preserve"> </w:t>
      </w:r>
      <w:r>
        <w:t xml:space="preserve">$400M+ (Fortune 2000 + high-growth tech)</w:t>
      </w:r>
    </w:p>
    <w:p>
      <w:pPr>
        <w:pStyle w:val="BodyText"/>
      </w:pPr>
      <w:r>
        <w:rPr>
          <w:b/>
          <w:bCs/>
        </w:rPr>
        <w:t xml:space="preserve">Market Validation:</w:t>
      </w:r>
      <w:r>
        <w:t xml:space="preserve"> </w:t>
      </w:r>
      <w:r>
        <w:t xml:space="preserve">- Snyk: $3.3-3.7B valuation (Jan 2026)</w:t>
      </w:r>
      <w:r>
        <w:t xml:space="preserve"> </w:t>
      </w:r>
      <w:r>
        <w:t xml:space="preserve">- Datadog: $42-47B market cap (Jan 2026)</w:t>
      </w:r>
      <w:r>
        <w:t xml:space="preserve"> </w:t>
      </w:r>
      <w:r>
        <w:t xml:space="preserve">- Snowflake: $72-75B market cap (Jan 2026)</w:t>
      </w:r>
    </w:p>
    <w:p>
      <w:pPr>
        <w:pStyle w:val="BodyText"/>
      </w:pPr>
      <w:r>
        <w:rPr>
          <w:i/>
          <w:iCs/>
        </w:rPr>
        <w:t xml:space="preserve">Source: Public company filings (Yahoo Finance), Tracxn, industry research</w:t>
      </w:r>
    </w:p>
    <w:p>
      <w:r>
        <w:pict>
          <v:rect style="width:0;height:1.5pt" o:hralign="center" o:hrstd="t" o:hr="t"/>
        </w:pict>
      </w:r>
    </w:p>
    <w:bookmarkEnd w:id="13"/>
    <w:bookmarkStart w:id="14" w:name="business-model"/>
    <w:p>
      <w:pPr>
        <w:pStyle w:val="Heading2"/>
      </w:pPr>
      <w:r>
        <w:t xml:space="preserve">Business Model</w:t>
      </w:r>
    </w:p>
    <w:p>
      <w:pPr>
        <w:pStyle w:val="FirstParagraph"/>
      </w:pPr>
      <w:r>
        <w:rPr>
          <w:b/>
          <w:bCs/>
        </w:rPr>
        <w:t xml:space="preserve">Developer-Led Growth with Enterprise Economics</w:t>
      </w:r>
    </w:p>
    <w:tbl>
      <w:tblPr>
        <w:tblStyle w:val="Table"/>
        <w:tblW w:type="pct" w:w="5000"/>
        <w:tblLayout w:type="fixed"/>
        <w:tblLook w:firstRow="1" w:lastRow="0" w:firstColumn="0" w:lastColumn="0" w:noHBand="0" w:noVBand="0" w:val="0020"/>
      </w:tblPr>
      <w:tblGrid>
        <w:gridCol w:w="2262"/>
        <w:gridCol w:w="2640"/>
        <w:gridCol w:w="3017"/>
      </w:tblGrid>
      <w:tr>
        <w:trPr>
          <w:tblHeader w:val="on"/>
        </w:trPr>
        <w:tc>
          <w:tcPr/>
          <w:p>
            <w:pPr>
              <w:pStyle w:val="Compact"/>
            </w:pPr>
            <w:r>
              <w:t xml:space="preserve">Tier</w:t>
            </w:r>
          </w:p>
        </w:tc>
        <w:tc>
          <w:tcPr/>
          <w:p>
            <w:pPr>
              <w:pStyle w:val="Compact"/>
            </w:pPr>
            <w:r>
              <w:t xml:space="preserve">Price</w:t>
            </w:r>
          </w:p>
        </w:tc>
        <w:tc>
          <w:tcPr/>
          <w:p>
            <w:pPr>
              <w:pStyle w:val="Compact"/>
            </w:pPr>
            <w:r>
              <w:t xml:space="preserve">Target</w:t>
            </w:r>
          </w:p>
        </w:tc>
      </w:tr>
      <w:tr>
        <w:tc>
          <w:tcPr/>
          <w:p>
            <w:pPr>
              <w:pStyle w:val="Compact"/>
            </w:pPr>
            <w:r>
              <w:t xml:space="preserve">Free</w:t>
            </w:r>
          </w:p>
        </w:tc>
        <w:tc>
          <w:tcPr/>
          <w:p>
            <w:pPr>
              <w:pStyle w:val="Compact"/>
            </w:pPr>
            <w:r>
              <w:t xml:space="preserve">$0</w:t>
            </w:r>
          </w:p>
        </w:tc>
        <w:tc>
          <w:tcPr/>
          <w:p>
            <w:pPr>
              <w:pStyle w:val="Compact"/>
            </w:pPr>
            <w:r>
              <w:t xml:space="preserve">Open source CLI, up to 100 components</w:t>
            </w:r>
          </w:p>
        </w:tc>
      </w:tr>
      <w:tr>
        <w:tc>
          <w:tcPr/>
          <w:p>
            <w:pPr>
              <w:pStyle w:val="Compact"/>
            </w:pPr>
            <w:r>
              <w:t xml:space="preserve">Team</w:t>
            </w:r>
          </w:p>
        </w:tc>
        <w:tc>
          <w:tcPr/>
          <w:p>
            <w:pPr>
              <w:pStyle w:val="Compact"/>
            </w:pPr>
            <w:r>
              <w:t xml:space="preserve">$49/mo</w:t>
            </w:r>
          </w:p>
        </w:tc>
        <w:tc>
          <w:tcPr/>
          <w:p>
            <w:pPr>
              <w:pStyle w:val="Compact"/>
            </w:pPr>
            <w:r>
              <w:t xml:space="preserve">Up to 10 developers, unlimited components</w:t>
            </w:r>
          </w:p>
        </w:tc>
      </w:tr>
      <w:tr>
        <w:tc>
          <w:tcPr/>
          <w:p>
            <w:pPr>
              <w:pStyle w:val="Compact"/>
            </w:pPr>
            <w:r>
              <w:t xml:space="preserve">Professional</w:t>
            </w:r>
          </w:p>
        </w:tc>
        <w:tc>
          <w:tcPr/>
          <w:p>
            <w:pPr>
              <w:pStyle w:val="Compact"/>
            </w:pPr>
            <w:r>
              <w:t xml:space="preserve">$299/mo</w:t>
            </w:r>
          </w:p>
        </w:tc>
        <w:tc>
          <w:tcPr/>
          <w:p>
            <w:pPr>
              <w:pStyle w:val="Compact"/>
            </w:pPr>
            <w:r>
              <w:t xml:space="preserve">Up to 50 developers, advanced constraints, SSO</w:t>
            </w:r>
          </w:p>
        </w:tc>
      </w:tr>
      <w:tr>
        <w:tc>
          <w:tcPr/>
          <w:p>
            <w:pPr>
              <w:pStyle w:val="Compact"/>
            </w:pPr>
            <w:r>
              <w:t xml:space="preserve">Enterprise</w:t>
            </w:r>
          </w:p>
        </w:tc>
        <w:tc>
          <w:tcPr/>
          <w:p>
            <w:pPr>
              <w:pStyle w:val="Compact"/>
            </w:pPr>
            <w:r>
              <w:t xml:space="preserve">Custom</w:t>
            </w:r>
          </w:p>
        </w:tc>
        <w:tc>
          <w:tcPr/>
          <w:p>
            <w:pPr>
              <w:pStyle w:val="Compact"/>
            </w:pPr>
            <w:r>
              <w:t xml:space="preserve">Unlimited developers, on-prem, custom constraints</w:t>
            </w:r>
          </w:p>
        </w:tc>
      </w:tr>
    </w:tbl>
    <w:p>
      <w:pPr>
        <w:pStyle w:val="BodyText"/>
      </w:pPr>
      <w:r>
        <w:rPr>
          <w:b/>
          <w:bCs/>
        </w:rPr>
        <w:t xml:space="preserve">Projected SaaS Metrics</w:t>
      </w:r>
      <w:r>
        <w:t xml:space="preserve"> </w:t>
      </w:r>
      <w:r>
        <w:t xml:space="preserve">(based on comparable companies):</w:t>
      </w:r>
      <w:r>
        <w:t xml:space="preserve"> </w:t>
      </w:r>
      <w:r>
        <w:t xml:space="preserve">- Free-to-Paid Conversion: 5-7% (vs. industry avg 2-5%)</w:t>
      </w:r>
      <w:r>
        <w:t xml:space="preserve"> </w:t>
      </w:r>
      <w:r>
        <w:t xml:space="preserve">- Net Revenue Retention: 120-130%</w:t>
      </w:r>
      <w:r>
        <w:t xml:space="preserve"> </w:t>
      </w:r>
      <w:r>
        <w:t xml:space="preserve">- Gross Margin: 75-80% (standard infrastructure SaaS)</w:t>
      </w:r>
      <w:r>
        <w:t xml:space="preserve"> </w:t>
      </w:r>
      <w:r>
        <w:t xml:space="preserve">- CAC Payback: 12-18 months (developer-led reduces CAC 40-60%)</w:t>
      </w:r>
    </w:p>
    <w:p>
      <w:r>
        <w:pict>
          <v:rect style="width:0;height:1.5pt" o:hralign="center" o:hrstd="t" o:hr="t"/>
        </w:pict>
      </w:r>
    </w:p>
    <w:bookmarkEnd w:id="14"/>
    <w:bookmarkStart w:id="15" w:name="competitive-advantage"/>
    <w:p>
      <w:pPr>
        <w:pStyle w:val="Heading2"/>
      </w:pPr>
      <w:r>
        <w:t xml:space="preserve">Competitive Advantage</w:t>
      </w:r>
    </w:p>
    <w:p>
      <w:pPr>
        <w:pStyle w:val="FirstParagraph"/>
      </w:pPr>
      <w:r>
        <w:rPr>
          <w:b/>
          <w:bCs/>
        </w:rPr>
        <w:t xml:space="preserve">Why We Win:</w:t>
      </w:r>
    </w:p>
    <w:p>
      <w:pPr>
        <w:numPr>
          <w:ilvl w:val="0"/>
          <w:numId w:val="1004"/>
        </w:numPr>
      </w:pPr>
      <w:r>
        <w:rPr>
          <w:b/>
          <w:bCs/>
        </w:rPr>
        <w:t xml:space="preserve">Technical Moat:</w:t>
      </w:r>
      <w:r>
        <w:t xml:space="preserve"> </w:t>
      </w:r>
      <w:r>
        <w:t xml:space="preserve">Formal verification requires estimated 18-24 month engineering effort to replicate from scratch. Competitors (Snyk, Dependabot, Renovate) built on heuristic engines—switching to constraint solving requires rewriting core architecture.</w:t>
      </w:r>
    </w:p>
    <w:p>
      <w:pPr>
        <w:numPr>
          <w:ilvl w:val="0"/>
          <w:numId w:val="1004"/>
        </w:numPr>
      </w:pPr>
      <w:r>
        <w:rPr>
          <w:b/>
          <w:bCs/>
        </w:rPr>
        <w:t xml:space="preserve">Cognitive Monopoly:</w:t>
      </w:r>
      <w:r>
        <w:t xml:space="preserve"> </w:t>
      </w:r>
      <w:r>
        <w:t xml:space="preserve">Attack through superior constraint intelligence, not feature parity. Mathematical proofs &gt;&gt; pattern matching.</w:t>
      </w:r>
    </w:p>
    <w:p>
      <w:pPr>
        <w:numPr>
          <w:ilvl w:val="0"/>
          <w:numId w:val="1004"/>
        </w:numPr>
      </w:pPr>
      <w:r>
        <w:rPr>
          <w:b/>
          <w:bCs/>
        </w:rPr>
        <w:t xml:space="preserve">Ecosystem Lock-In:</w:t>
      </w:r>
      <w:r>
        <w:t xml:space="preserve"> </w:t>
      </w:r>
      <w:r>
        <w:t xml:space="preserve">Open TessIR standard makes TESSRYX infrastructure layer—tools build on top, we provide intelligence layer (Bloomberg Terminal model).</w:t>
      </w:r>
    </w:p>
    <w:p>
      <w:pPr>
        <w:numPr>
          <w:ilvl w:val="0"/>
          <w:numId w:val="1004"/>
        </w:numPr>
      </w:pPr>
      <w:r>
        <w:rPr>
          <w:b/>
          <w:bCs/>
        </w:rPr>
        <w:t xml:space="preserve">First-Mover Advantage:</w:t>
      </w:r>
      <w:r>
        <w:t xml:space="preserve"> </w:t>
      </w:r>
      <w:r>
        <w:t xml:space="preserve">18-24 month window before well-funded competitors can respond with architectural rewrites.</w:t>
      </w:r>
    </w:p>
    <w:p>
      <w:r>
        <w:pict>
          <v:rect style="width:0;height:1.5pt" o:hralign="center" o:hrstd="t" o:hr="t"/>
        </w:pict>
      </w:r>
    </w:p>
    <w:bookmarkEnd w:id="15"/>
    <w:bookmarkStart w:id="16" w:name="go-to-market-strategy"/>
    <w:p>
      <w:pPr>
        <w:pStyle w:val="Heading2"/>
      </w:pPr>
      <w:r>
        <w:t xml:space="preserve">Go-To-Market Strategy</w:t>
      </w:r>
    </w:p>
    <w:p>
      <w:pPr>
        <w:pStyle w:val="FirstParagraph"/>
      </w:pPr>
      <w:r>
        <w:rPr>
          <w:b/>
          <w:bCs/>
        </w:rPr>
        <w:t xml:space="preserve">Phase 1: Developer Community</w:t>
      </w:r>
      <w:r>
        <w:t xml:space="preserve"> </w:t>
      </w:r>
      <w:r>
        <w:t xml:space="preserve">(Months 1-12)</w:t>
      </w:r>
      <w:r>
        <w:t xml:space="preserve"> </w:t>
      </w:r>
      <w:r>
        <w:t xml:space="preserve">- Open source TessIR CLI on GitHub</w:t>
      </w:r>
      <w:r>
        <w:t xml:space="preserve"> </w:t>
      </w:r>
      <w:r>
        <w:t xml:space="preserve">- Dev community engagement (Reddit, HN, conferences)</w:t>
      </w:r>
      <w:r>
        <w:t xml:space="preserve"> </w:t>
      </w:r>
      <w:r>
        <w:t xml:space="preserve">- Technical content marketing</w:t>
      </w:r>
      <w:r>
        <w:t xml:space="preserve"> </w:t>
      </w:r>
      <w:r>
        <w:t xml:space="preserve">-</w:t>
      </w:r>
      <w:r>
        <w:t xml:space="preserve"> </w:t>
      </w:r>
      <w:r>
        <w:rPr>
          <w:b/>
          <w:bCs/>
        </w:rPr>
        <w:t xml:space="preserve">Goal:</w:t>
      </w:r>
      <w:r>
        <w:t xml:space="preserve"> </w:t>
      </w:r>
      <w:r>
        <w:t xml:space="preserve">10,000 developers</w:t>
      </w:r>
    </w:p>
    <w:p>
      <w:pPr>
        <w:pStyle w:val="BodyText"/>
      </w:pPr>
      <w:r>
        <w:rPr>
          <w:b/>
          <w:bCs/>
        </w:rPr>
        <w:t xml:space="preserve">Phase 2: Team Conversion</w:t>
      </w:r>
      <w:r>
        <w:t xml:space="preserve"> </w:t>
      </w:r>
      <w:r>
        <w:t xml:space="preserve">(Months 12-24)</w:t>
      </w:r>
      <w:r>
        <w:t xml:space="preserve"> </w:t>
      </w:r>
      <w:r>
        <w:t xml:space="preserve">- Trigger: &gt;5 developers in org using free tier</w:t>
      </w:r>
      <w:r>
        <w:t xml:space="preserve"> </w:t>
      </w:r>
      <w:r>
        <w:t xml:space="preserve">- CI/CD integrations, collaboration features</w:t>
      </w:r>
      <w:r>
        <w:t xml:space="preserve"> </w:t>
      </w:r>
      <w:r>
        <w:t xml:space="preserve">-</w:t>
      </w:r>
      <w:r>
        <w:t xml:space="preserve"> </w:t>
      </w:r>
      <w:r>
        <w:rPr>
          <w:b/>
          <w:bCs/>
        </w:rPr>
        <w:t xml:space="preserve">Goal:</w:t>
      </w:r>
      <w:r>
        <w:t xml:space="preserve"> </w:t>
      </w:r>
      <w:r>
        <w:t xml:space="preserve">500 paid teams</w:t>
      </w:r>
    </w:p>
    <w:p>
      <w:pPr>
        <w:pStyle w:val="BodyText"/>
      </w:pPr>
      <w:r>
        <w:rPr>
          <w:b/>
          <w:bCs/>
        </w:rPr>
        <w:t xml:space="preserve">Phase 3: Enterprise Expansion</w:t>
      </w:r>
      <w:r>
        <w:t xml:space="preserve"> </w:t>
      </w:r>
      <w:r>
        <w:t xml:space="preserve">(Months 24-36)</w:t>
      </w:r>
      <w:r>
        <w:t xml:space="preserve"> </w:t>
      </w:r>
      <w:r>
        <w:t xml:space="preserve">- Grassroots adoption → CTO/CISO buy-in</w:t>
      </w:r>
      <w:r>
        <w:t xml:space="preserve"> </w:t>
      </w:r>
      <w:r>
        <w:t xml:space="preserve">- Pilot programs → full organization rollout</w:t>
      </w:r>
      <w:r>
        <w:t xml:space="preserve"> </w:t>
      </w:r>
      <w:r>
        <w:t xml:space="preserve">-</w:t>
      </w:r>
      <w:r>
        <w:t xml:space="preserve"> </w:t>
      </w:r>
      <w:r>
        <w:rPr>
          <w:b/>
          <w:bCs/>
        </w:rPr>
        <w:t xml:space="preserve">Goal:</w:t>
      </w:r>
      <w:r>
        <w:t xml:space="preserve"> </w:t>
      </w:r>
      <w:r>
        <w:t xml:space="preserve">50 enterprise deals ($50K-500K ASPs)</w:t>
      </w:r>
    </w:p>
    <w:p>
      <w:pPr>
        <w:pStyle w:val="BodyText"/>
      </w:pPr>
      <w:r>
        <w:rPr>
          <w:b/>
          <w:bCs/>
        </w:rPr>
        <w:t xml:space="preserve">Strategic Partnerships:</w:t>
      </w:r>
      <w:r>
        <w:t xml:space="preserve"> </w:t>
      </w:r>
      <w:r>
        <w:t xml:space="preserve">GitHub Actions, GitLab CI, Jenkins, Snyk (complement, not compete), Sonatype Nexus, ServiceNow CMDB.</w:t>
      </w:r>
    </w:p>
    <w:p>
      <w:r>
        <w:pict>
          <v:rect style="width:0;height:1.5pt" o:hralign="center" o:hrstd="t" o:hr="t"/>
        </w:pict>
      </w:r>
    </w:p>
    <w:bookmarkEnd w:id="16"/>
    <w:bookmarkStart w:id="17" w:name="financial-projections"/>
    <w:p>
      <w:pPr>
        <w:pStyle w:val="Heading2"/>
      </w:pPr>
      <w:r>
        <w:t xml:space="preserve">Financial Projections</w:t>
      </w:r>
    </w:p>
    <w:p>
      <w:pPr>
        <w:pStyle w:val="FirstParagraph"/>
      </w:pPr>
      <w:r>
        <w:rPr>
          <w:i/>
          <w:iCs/>
        </w:rPr>
        <w:t xml:space="preserve">Company projections based on comparable SaaS growth trajectories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Year</w:t>
            </w:r>
          </w:p>
        </w:tc>
        <w:tc>
          <w:tcPr/>
          <w:p>
            <w:pPr>
              <w:pStyle w:val="Compact"/>
            </w:pPr>
            <w:r>
              <w:t xml:space="preserve">ARR</w:t>
            </w:r>
          </w:p>
        </w:tc>
        <w:tc>
          <w:tcPr/>
          <w:p>
            <w:pPr>
              <w:pStyle w:val="Compact"/>
            </w:pPr>
            <w:r>
              <w:t xml:space="preserve">Customers</w:t>
            </w:r>
          </w:p>
        </w:tc>
        <w:tc>
          <w:tcPr/>
          <w:p>
            <w:pPr>
              <w:pStyle w:val="Compact"/>
            </w:pPr>
            <w:r>
              <w:t xml:space="preserve">Gross Margin</w:t>
            </w:r>
          </w:p>
        </w:tc>
        <w:tc>
          <w:tcPr/>
          <w:p>
            <w:pPr>
              <w:pStyle w:val="Compact"/>
            </w:pPr>
            <w:r>
              <w:t xml:space="preserve">Burn/Profit</w:t>
            </w:r>
          </w:p>
        </w:tc>
      </w:tr>
      <w:tr>
        <w:tc>
          <w:tcPr/>
          <w:p>
            <w:pPr>
              <w:pStyle w:val="Compact"/>
            </w:pPr>
            <w:r>
              <w:t xml:space="preserve">Year 1</w:t>
            </w:r>
          </w:p>
        </w:tc>
        <w:tc>
          <w:tcPr/>
          <w:p>
            <w:pPr>
              <w:pStyle w:val="Compact"/>
            </w:pPr>
            <w:r>
              <w:t xml:space="preserve">$3-5M</w:t>
            </w:r>
          </w:p>
        </w:tc>
        <w:tc>
          <w:tcPr/>
          <w:p>
            <w:pPr>
              <w:pStyle w:val="Compact"/>
            </w:pPr>
            <w:r>
              <w:t xml:space="preserve">300-500</w:t>
            </w:r>
          </w:p>
        </w:tc>
        <w:tc>
          <w:tcPr/>
          <w:p>
            <w:pPr>
              <w:pStyle w:val="Compact"/>
            </w:pPr>
            <w:r>
              <w:t xml:space="preserve">70%</w:t>
            </w:r>
          </w:p>
        </w:tc>
        <w:tc>
          <w:tcPr/>
          <w:p>
            <w:pPr>
              <w:pStyle w:val="Compact"/>
            </w:pPr>
            <w:r>
              <w:t xml:space="preserve">-$4M</w:t>
            </w:r>
          </w:p>
        </w:tc>
      </w:tr>
      <w:tr>
        <w:tc>
          <w:tcPr/>
          <w:p>
            <w:pPr>
              <w:pStyle w:val="Compact"/>
            </w:pPr>
            <w:r>
              <w:t xml:space="preserve">Year 2</w:t>
            </w:r>
          </w:p>
        </w:tc>
        <w:tc>
          <w:tcPr/>
          <w:p>
            <w:pPr>
              <w:pStyle w:val="Compact"/>
            </w:pPr>
            <w:r>
              <w:t xml:space="preserve">$15-25M</w:t>
            </w:r>
          </w:p>
        </w:tc>
        <w:tc>
          <w:tcPr/>
          <w:p>
            <w:pPr>
              <w:pStyle w:val="Compact"/>
            </w:pPr>
            <w:r>
              <w:t xml:space="preserve">800-1200</w:t>
            </w:r>
          </w:p>
        </w:tc>
        <w:tc>
          <w:tcPr/>
          <w:p>
            <w:pPr>
              <w:pStyle w:val="Compact"/>
            </w:pPr>
            <w:r>
              <w:t xml:space="preserve">75%</w:t>
            </w:r>
          </w:p>
        </w:tc>
        <w:tc>
          <w:tcPr/>
          <w:p>
            <w:pPr>
              <w:pStyle w:val="Compact"/>
            </w:pPr>
            <w:r>
              <w:t xml:space="preserve">-$8M</w:t>
            </w:r>
          </w:p>
        </w:tc>
      </w:tr>
      <w:tr>
        <w:tc>
          <w:tcPr/>
          <w:p>
            <w:pPr>
              <w:pStyle w:val="Compact"/>
            </w:pPr>
            <w:r>
              <w:t xml:space="preserve">Year 3</w:t>
            </w:r>
          </w:p>
        </w:tc>
        <w:tc>
          <w:tcPr/>
          <w:p>
            <w:pPr>
              <w:pStyle w:val="Compact"/>
            </w:pPr>
            <w:r>
              <w:t xml:space="preserve">$40-60M</w:t>
            </w:r>
          </w:p>
        </w:tc>
        <w:tc>
          <w:tcPr/>
          <w:p>
            <w:pPr>
              <w:pStyle w:val="Compact"/>
            </w:pPr>
            <w:r>
              <w:t xml:space="preserve">1500-2000</w:t>
            </w:r>
          </w:p>
        </w:tc>
        <w:tc>
          <w:tcPr/>
          <w:p>
            <w:pPr>
              <w:pStyle w:val="Compact"/>
            </w:pPr>
            <w:r>
              <w:t xml:space="preserve">78%</w:t>
            </w:r>
          </w:p>
        </w:tc>
        <w:tc>
          <w:tcPr/>
          <w:p>
            <w:pPr>
              <w:pStyle w:val="Compact"/>
            </w:pPr>
            <w:r>
              <w:t xml:space="preserve">-$5M</w:t>
            </w:r>
          </w:p>
        </w:tc>
      </w:tr>
      <w:tr>
        <w:tc>
          <w:tcPr/>
          <w:p>
            <w:pPr>
              <w:pStyle w:val="Compact"/>
            </w:pPr>
            <w:r>
              <w:t xml:space="preserve">Year 4</w:t>
            </w:r>
          </w:p>
        </w:tc>
        <w:tc>
          <w:tcPr/>
          <w:p>
            <w:pPr>
              <w:pStyle w:val="Compact"/>
            </w:pPr>
            <w:r>
              <w:t xml:space="preserve">$80-100M</w:t>
            </w:r>
          </w:p>
        </w:tc>
        <w:tc>
          <w:tcPr/>
          <w:p>
            <w:pPr>
              <w:pStyle w:val="Compact"/>
            </w:pPr>
            <w:r>
              <w:t xml:space="preserve">2500-3000</w:t>
            </w:r>
          </w:p>
        </w:tc>
        <w:tc>
          <w:tcPr/>
          <w:p>
            <w:pPr>
              <w:pStyle w:val="Compact"/>
            </w:pPr>
            <w:r>
              <w:t xml:space="preserve">80%</w:t>
            </w:r>
          </w:p>
        </w:tc>
        <w:tc>
          <w:tcPr/>
          <w:p>
            <w:pPr>
              <w:pStyle w:val="Compact"/>
            </w:pPr>
            <w:r>
              <w:t xml:space="preserve">Break-even</w:t>
            </w:r>
          </w:p>
        </w:tc>
      </w:tr>
      <w:tr>
        <w:tc>
          <w:tcPr/>
          <w:p>
            <w:pPr>
              <w:pStyle w:val="Compact"/>
            </w:pPr>
            <w:r>
              <w:t xml:space="preserve">Year 5</w:t>
            </w:r>
          </w:p>
        </w:tc>
        <w:tc>
          <w:tcPr/>
          <w:p>
            <w:pPr>
              <w:pStyle w:val="Compact"/>
            </w:pPr>
            <w:r>
              <w:t xml:space="preserve">$120-160M</w:t>
            </w:r>
          </w:p>
        </w:tc>
        <w:tc>
          <w:tcPr/>
          <w:p>
            <w:pPr>
              <w:pStyle w:val="Compact"/>
            </w:pPr>
            <w:r>
              <w:t xml:space="preserve">3500-4500</w:t>
            </w:r>
          </w:p>
        </w:tc>
        <w:tc>
          <w:tcPr/>
          <w:p>
            <w:pPr>
              <w:pStyle w:val="Compact"/>
            </w:pPr>
            <w:r>
              <w:t xml:space="preserve">82%</w:t>
            </w:r>
          </w:p>
        </w:tc>
        <w:tc>
          <w:tcPr/>
          <w:p>
            <w:pPr>
              <w:pStyle w:val="Compact"/>
            </w:pPr>
            <w:r>
              <w:t xml:space="preserve">+$15M FCF</w:t>
            </w:r>
          </w:p>
        </w:tc>
      </w:tr>
    </w:tbl>
    <w:p>
      <w:pPr>
        <w:pStyle w:val="BodyText"/>
      </w:pPr>
      <w:r>
        <w:rPr>
          <w:b/>
          <w:bCs/>
        </w:rPr>
        <w:t xml:space="preserve">Growth Comparables:</w:t>
      </w:r>
      <w:r>
        <w:t xml:space="preserve"> </w:t>
      </w:r>
      <w:r>
        <w:t xml:space="preserve">Datadog (35% CAGR), Snowflake (100%+ early years), HashiCorp (50-70%)</w:t>
      </w:r>
    </w:p>
    <w:p>
      <w:r>
        <w:pict>
          <v:rect style="width:0;height:1.5pt" o:hralign="center" o:hrstd="t" o:hr="t"/>
        </w:pict>
      </w:r>
    </w:p>
    <w:bookmarkEnd w:id="17"/>
    <w:bookmarkStart w:id="18" w:name="the-ask"/>
    <w:p>
      <w:pPr>
        <w:pStyle w:val="Heading2"/>
      </w:pPr>
      <w:r>
        <w:t xml:space="preserve">The Ask</w:t>
      </w:r>
    </w:p>
    <w:p>
      <w:pPr>
        <w:pStyle w:val="FirstParagraph"/>
      </w:pPr>
      <w:r>
        <w:rPr>
          <w:b/>
          <w:bCs/>
        </w:rPr>
        <w:t xml:space="preserve">Raising $2-5M Seed Round</w:t>
      </w:r>
      <w:r>
        <w:t xml:space="preserve"> </w:t>
      </w:r>
      <w:r>
        <w:t xml:space="preserve">-</w:t>
      </w:r>
      <w:r>
        <w:t xml:space="preserve"> </w:t>
      </w:r>
      <w:r>
        <w:rPr>
          <w:b/>
          <w:bCs/>
        </w:rPr>
        <w:t xml:space="preserve">Use of Funds:</w:t>
      </w:r>
      <w:r>
        <w:t xml:space="preserve"> </w:t>
      </w:r>
      <w:r>
        <w:t xml:space="preserve">60% Engineering, 25% GTM, 15% Operations</w:t>
      </w:r>
      <w:r>
        <w:t xml:space="preserve"> </w:t>
      </w:r>
      <w:r>
        <w:t xml:space="preserve">-</w:t>
      </w:r>
      <w:r>
        <w:t xml:space="preserve"> </w:t>
      </w:r>
      <w:r>
        <w:rPr>
          <w:b/>
          <w:bCs/>
        </w:rPr>
        <w:t xml:space="preserve">18-Month Milestones:</w:t>
      </w:r>
      <w:r>
        <w:t xml:space="preserve"> </w:t>
      </w:r>
      <w:r>
        <w:t xml:space="preserve">$1M ARR run-rate, 10K developers, 200 paid teams</w:t>
      </w:r>
      <w:r>
        <w:t xml:space="preserve"> </w:t>
      </w:r>
      <w:r>
        <w:t xml:space="preserve">-</w:t>
      </w:r>
      <w:r>
        <w:t xml:space="preserve"> </w:t>
      </w:r>
      <w:r>
        <w:rPr>
          <w:b/>
          <w:bCs/>
        </w:rPr>
        <w:t xml:space="preserve">Capital Efficiency:</w:t>
      </w:r>
      <w:r>
        <w:t xml:space="preserve"> </w:t>
      </w:r>
      <w:r>
        <w:t xml:space="preserve">Developer-led growth achieves traction at 40-60% lower CAC</w:t>
      </w:r>
    </w:p>
    <w:p>
      <w:pPr>
        <w:pStyle w:val="BodyText"/>
      </w:pPr>
      <w:r>
        <w:rPr>
          <w:b/>
          <w:bCs/>
        </w:rPr>
        <w:t xml:space="preserve">What Investors Get:</w:t>
      </w:r>
      <w:r>
        <w:t xml:space="preserve"> </w:t>
      </w:r>
      <w:r>
        <w:t xml:space="preserve">- Technical moat with estimated 18-24 month lead time</w:t>
      </w:r>
      <w:r>
        <w:t xml:space="preserve"> </w:t>
      </w:r>
      <w:r>
        <w:t xml:space="preserve">- First-mover advantage in formal verification for dependencies</w:t>
      </w:r>
      <w:r>
        <w:t xml:space="preserve"> </w:t>
      </w:r>
      <w:r>
        <w:t xml:space="preserve">- Platform play with ecosystem network effects</w:t>
      </w:r>
      <w:r>
        <w:t xml:space="preserve"> </w:t>
      </w:r>
      <w:r>
        <w:t xml:space="preserve">- Cognitive monopoly strategy against established players</w:t>
      </w:r>
    </w:p>
    <w:p>
      <w:r>
        <w:pict>
          <v:rect style="width:0;height:1.5pt" o:hralign="center" o:hrstd="t" o:hr="t"/>
        </w:pict>
      </w:r>
    </w:p>
    <w:bookmarkEnd w:id="18"/>
    <w:bookmarkStart w:id="19" w:name="team"/>
    <w:p>
      <w:pPr>
        <w:pStyle w:val="Heading2"/>
      </w:pPr>
      <w:r>
        <w:t xml:space="preserve">Team</w:t>
      </w:r>
    </w:p>
    <w:p>
      <w:pPr>
        <w:pStyle w:val="FirstParagraph"/>
      </w:pPr>
      <w:r>
        <w:rPr>
          <w:b/>
          <w:bCs/>
        </w:rPr>
        <w:t xml:space="preserve">David Wasniatka</w:t>
      </w:r>
      <w:r>
        <w:t xml:space="preserve"> </w:t>
      </w:r>
      <w:r>
        <w:t xml:space="preserve">- Founder &amp; CEO</w:t>
      </w:r>
      <w:r>
        <w:t xml:space="preserve"> </w:t>
      </w:r>
      <w:r>
        <w:t xml:space="preserve">- Operations executive &amp; entrepreneur with technical depth</w:t>
      </w:r>
      <w:r>
        <w:t xml:space="preserve"> </w:t>
      </w:r>
      <w:r>
        <w:t xml:space="preserve">- Previous successes: Consensus (data intelligence), Gregore (system automation)</w:t>
      </w:r>
      <w:r>
        <w:t xml:space="preserve"> </w:t>
      </w:r>
      <w:r>
        <w:t xml:space="preserve">- Domain expertise: Constraint solving, dependency management, formal methods</w:t>
      </w:r>
      <w:r>
        <w:t xml:space="preserve"> </w:t>
      </w:r>
      <w:r>
        <w:t xml:space="preserve">- Philosophy:</w:t>
      </w:r>
      <w:r>
        <w:t xml:space="preserve"> </w:t>
      </w:r>
      <w:r>
        <w:t xml:space="preserve">“Option B perfection”</w:t>
      </w:r>
      <w:r>
        <w:t xml:space="preserve"> </w:t>
      </w:r>
      <w:r>
        <w:t xml:space="preserve">- 10x solutions, zero technical debt</w:t>
      </w:r>
    </w:p>
    <w:p>
      <w:pPr>
        <w:pStyle w:val="BodyText"/>
      </w:pPr>
      <w:r>
        <w:rPr>
          <w:b/>
          <w:bCs/>
        </w:rPr>
        <w:t xml:space="preserve">Key Hires (6-12 Months):</w:t>
      </w:r>
      <w:r>
        <w:t xml:space="preserve"> </w:t>
      </w:r>
      <w:r>
        <w:t xml:space="preserve">- CTO: Distributed systems + constraint solving</w:t>
      </w:r>
      <w:r>
        <w:t xml:space="preserve"> </w:t>
      </w:r>
      <w:r>
        <w:t xml:space="preserve">- Lead Engineer: Formal verification expertise (Z3/SMT)</w:t>
      </w:r>
      <w:r>
        <w:t xml:space="preserve"> </w:t>
      </w:r>
      <w:r>
        <w:t xml:space="preserve">- DevRel Lead: Developer community engagement</w:t>
      </w:r>
      <w:r>
        <w:t xml:space="preserve"> </w:t>
      </w:r>
      <w:r>
        <w:t xml:space="preserve">- Product Designer: CLI/API UX specialist</w:t>
      </w:r>
    </w:p>
    <w:p>
      <w:r>
        <w:pict>
          <v:rect style="width:0;height:1.5pt" o:hralign="center" o:hrstd="t" o:hr="t"/>
        </w:pict>
      </w:r>
    </w:p>
    <w:bookmarkEnd w:id="19"/>
    <w:bookmarkStart w:id="20" w:name="vision"/>
    <w:p>
      <w:pPr>
        <w:pStyle w:val="Heading2"/>
      </w:pPr>
      <w:r>
        <w:t xml:space="preserve">Vision</w:t>
      </w:r>
    </w:p>
    <w:p>
      <w:pPr>
        <w:pStyle w:val="FirstParagraph"/>
      </w:pPr>
      <w:r>
        <w:rPr>
          <w:b/>
          <w:bCs/>
        </w:rPr>
        <w:t xml:space="preserve">From Software to Infrastructure to Hardware</w:t>
      </w:r>
    </w:p>
    <w:p>
      <w:pPr>
        <w:pStyle w:val="Compact"/>
        <w:numPr>
          <w:ilvl w:val="0"/>
          <w:numId w:val="1005"/>
        </w:numPr>
      </w:pPr>
      <w:r>
        <w:rPr>
          <w:b/>
          <w:bCs/>
        </w:rPr>
        <w:t xml:space="preserve">2026-2028:</w:t>
      </w:r>
      <w:r>
        <w:t xml:space="preserve"> </w:t>
      </w:r>
      <w:r>
        <w:t xml:space="preserve">Establish dominance in software dependency intelligence</w:t>
      </w:r>
    </w:p>
    <w:p>
      <w:pPr>
        <w:pStyle w:val="Compact"/>
        <w:numPr>
          <w:ilvl w:val="0"/>
          <w:numId w:val="1005"/>
        </w:numPr>
      </w:pPr>
      <w:r>
        <w:rPr>
          <w:b/>
          <w:bCs/>
        </w:rPr>
        <w:t xml:space="preserve">2028-2030:</w:t>
      </w:r>
      <w:r>
        <w:t xml:space="preserve"> </w:t>
      </w:r>
      <w:r>
        <w:t xml:space="preserve">Expand to IT operations (ServiceNow CMDB, infrastructure dependencies)</w:t>
      </w:r>
    </w:p>
    <w:p>
      <w:pPr>
        <w:pStyle w:val="Compact"/>
        <w:numPr>
          <w:ilvl w:val="0"/>
          <w:numId w:val="1005"/>
        </w:numPr>
      </w:pPr>
      <w:r>
        <w:rPr>
          <w:b/>
          <w:bCs/>
        </w:rPr>
        <w:t xml:space="preserve">2030+:</w:t>
      </w:r>
      <w:r>
        <w:t xml:space="preserve"> </w:t>
      </w:r>
      <w:r>
        <w:t xml:space="preserve">Platform for physical supply chains (automotive, construction, manufacturing)</w:t>
      </w:r>
    </w:p>
    <w:p>
      <w:pPr>
        <w:pStyle w:val="FirstParagraph"/>
      </w:pPr>
      <w:r>
        <w:rPr>
          <w:b/>
          <w:bCs/>
        </w:rPr>
        <w:t xml:space="preserve">Exit Potential:</w:t>
      </w:r>
      <w:r>
        <w:t xml:space="preserve"> </w:t>
      </w:r>
      <w:r>
        <w:t xml:space="preserve">-</w:t>
      </w:r>
      <w:r>
        <w:t xml:space="preserve"> </w:t>
      </w:r>
      <w:r>
        <w:rPr>
          <w:b/>
          <w:bCs/>
        </w:rPr>
        <w:t xml:space="preserve">Strategic Acquisition:</w:t>
      </w:r>
      <w:r>
        <w:t xml:space="preserve"> </w:t>
      </w:r>
      <w:r>
        <w:t xml:space="preserve">Microsoft (GitHub), Atlassian, Datadog, ServiceNow</w:t>
      </w:r>
      <w:r>
        <w:t xml:space="preserve"> </w:t>
      </w:r>
      <w:r>
        <w:t xml:space="preserve">-</w:t>
      </w:r>
      <w:r>
        <w:t xml:space="preserve"> </w:t>
      </w:r>
      <w:r>
        <w:rPr>
          <w:b/>
          <w:bCs/>
        </w:rPr>
        <w:t xml:space="preserve">IPO Path at Scale:</w:t>
      </w:r>
      <w:r>
        <w:t xml:space="preserve"> </w:t>
      </w:r>
      <w:r>
        <w:t xml:space="preserve">$200M+ ARR with platform economics</w:t>
      </w:r>
    </w:p>
    <w:p>
      <w:pPr>
        <w:pStyle w:val="BodyText"/>
      </w:pPr>
      <w:r>
        <w:rPr>
          <w:b/>
          <w:bCs/>
        </w:rPr>
        <w:t xml:space="preserve">Precedent:</w:t>
      </w:r>
      <w:r>
        <w:t xml:space="preserve"> </w:t>
      </w:r>
      <w:r>
        <w:t xml:space="preserve">GitHub acquired Dependabot, Snyk acquired 12+ companies, Datadog/Snowflake demonstrated appetite for developer infrastructure at multi-billion valuations.</w:t>
      </w:r>
    </w:p>
    <w:p>
      <w:r>
        <w:pict>
          <v:rect style="width:0;height:1.5pt" o:hralign="center" o:hrstd="t" o:hr="t"/>
        </w:pict>
      </w:r>
    </w:p>
    <w:bookmarkEnd w:id="20"/>
    <w:bookmarkStart w:id="21" w:name="appendix-data-sources"/>
    <w:p>
      <w:pPr>
        <w:pStyle w:val="Heading2"/>
      </w:pPr>
      <w:r>
        <w:t xml:space="preserve">Appendix: Data Sources</w:t>
      </w:r>
    </w:p>
    <w:p>
      <w:pPr>
        <w:pStyle w:val="Compact"/>
        <w:numPr>
          <w:ilvl w:val="0"/>
          <w:numId w:val="1006"/>
        </w:numPr>
      </w:pPr>
      <w:r>
        <w:rPr>
          <w:b/>
          <w:bCs/>
        </w:rPr>
        <w:t xml:space="preserve">Sonatype State of Software Supply Chain 2024:</w:t>
      </w:r>
      <w:r>
        <w:t xml:space="preserve"> </w:t>
      </w:r>
      <w:r>
        <w:t xml:space="preserve">6.6T downloads, 704K malicious packages</w:t>
      </w:r>
    </w:p>
    <w:p>
      <w:pPr>
        <w:pStyle w:val="Compact"/>
        <w:numPr>
          <w:ilvl w:val="0"/>
          <w:numId w:val="1006"/>
        </w:numPr>
      </w:pPr>
      <w:r>
        <w:rPr>
          <w:b/>
          <w:bCs/>
        </w:rPr>
        <w:t xml:space="preserve">Public Company Filings:</w:t>
      </w:r>
      <w:r>
        <w:t xml:space="preserve"> </w:t>
      </w:r>
      <w:r>
        <w:t xml:space="preserve">Datadog, Snowflake market caps (Yahoo Finance, SEC Edgar)</w:t>
      </w:r>
    </w:p>
    <w:p>
      <w:pPr>
        <w:pStyle w:val="Compact"/>
        <w:numPr>
          <w:ilvl w:val="0"/>
          <w:numId w:val="1006"/>
        </w:numPr>
      </w:pPr>
      <w:r>
        <w:rPr>
          <w:b/>
          <w:bCs/>
        </w:rPr>
        <w:t xml:space="preserve">Private Company Data:</w:t>
      </w:r>
      <w:r>
        <w:t xml:space="preserve"> </w:t>
      </w:r>
      <w:r>
        <w:t xml:space="preserve">Snyk valuation (Tracxn, BankInfoSecurity, Jan 2026)</w:t>
      </w:r>
    </w:p>
    <w:p>
      <w:pPr>
        <w:pStyle w:val="Compact"/>
        <w:numPr>
          <w:ilvl w:val="0"/>
          <w:numId w:val="1006"/>
        </w:numPr>
      </w:pPr>
      <w:r>
        <w:rPr>
          <w:b/>
          <w:bCs/>
        </w:rPr>
        <w:t xml:space="preserve">SaaS Benchmarks:</w:t>
      </w:r>
      <w:r>
        <w:t xml:space="preserve"> </w:t>
      </w:r>
      <w:r>
        <w:t xml:space="preserve">OpenView SaaS Benchmarks, KeyBanc SaaS Survey</w:t>
      </w:r>
    </w:p>
    <w:p>
      <w:pPr>
        <w:pStyle w:val="Compact"/>
        <w:numPr>
          <w:ilvl w:val="0"/>
          <w:numId w:val="1006"/>
        </w:numPr>
      </w:pPr>
      <w:r>
        <w:rPr>
          <w:b/>
          <w:bCs/>
        </w:rPr>
        <w:t xml:space="preserve">Supply Chain Incidents:</w:t>
      </w:r>
      <w:r>
        <w:t xml:space="preserve"> </w:t>
      </w:r>
      <w:r>
        <w:t xml:space="preserve">SolarWinds (CISA AA20-352A), Log4Shell (CVE-2021-44228), XZ Utils (CVE-2024-3094)</w:t>
      </w:r>
    </w:p>
    <w:p>
      <w:r>
        <w:pict>
          <v:rect style="width:0;height:1.5pt" o:hralign="center" o:hrstd="t" o:hr="t"/>
        </w:pict>
      </w:r>
    </w:p>
    <w:p>
      <w:pPr>
        <w:pStyle w:val="FirstParagraph"/>
      </w:pPr>
      <w:r>
        <w:rPr>
          <w:b/>
          <w:bCs/>
        </w:rPr>
        <w:t xml:space="preserve">Contact:</w:t>
      </w:r>
      <w:r>
        <w:br/>
      </w:r>
      <w:r>
        <w:t xml:space="preserve">David Wasniatka</w:t>
      </w:r>
      <w:r>
        <w:br/>
      </w:r>
      <w:r>
        <w:t xml:space="preserve">Founder &amp; CEO, TESSRYX</w:t>
      </w:r>
      <w:r>
        <w:br/>
      </w:r>
      <w:r>
        <w:t xml:space="preserve">david@tessryx.com</w:t>
      </w:r>
      <w:r>
        <w:br/>
      </w:r>
      <w:r>
        <w:t xml:space="preserve">https://tessryx.com</w:t>
      </w:r>
    </w:p>
    <w:p>
      <w:pPr>
        <w:pStyle w:val="BodyText"/>
      </w:pPr>
      <w:r>
        <w:rPr>
          <w:b/>
          <w:bCs/>
        </w:rPr>
        <w:t xml:space="preserve">Build Certain.</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2026-01-21T03:04:00Z</dcterms:created>
  <dcterms:modified xsi:type="dcterms:W3CDTF">2026-01-21T03:04:00Z</dcterms:modified>
</cp:coreProperties>
</file>

<file path=docProps/custom.xml><?xml version="1.0" encoding="utf-8"?>
<Properties xmlns="http://schemas.openxmlformats.org/officeDocument/2006/custom-properties" xmlns:vt="http://schemas.openxmlformats.org/officeDocument/2006/docPropsVTypes"/>
</file>