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Emergence as Information Volume:</w:t>
      </w:r>
      <w:r>
        <w:br/>
      </w:r>
      <w:r>
        <w:rPr>
          <w:b/>
          <w:bCs/>
        </w:rPr>
        <w:t xml:space="preserve">The Geometric Foundation of Multiplicative Composition</w:t>
      </w:r>
    </w:p>
    <w:p>
      <w:pPr>
        <w:pStyle w:val="Author"/>
      </w:pPr>
      <w:r>
        <w:t xml:space="preserve">David E. Kirsch</w:t>
      </w:r>
      <w:r>
        <w:br/>
      </w:r>
      <w:r>
        <w:rPr>
          <w:i/>
          <w:iCs/>
        </w:rPr>
        <w:t xml:space="preserve">Independent Researcher</w:t>
      </w:r>
      <w:r>
        <w:br/>
      </w:r>
      <w:r>
        <w:t xml:space="preserve">Simi Valley, California</w:t>
      </w:r>
      <w:r>
        <w:br/>
      </w:r>
      <w:r>
        <w:rPr>
          <w:rStyle w:val="VerbatimChar"/>
        </w:rPr>
        <w:t xml:space="preserve">david@davidkirsch.me</w:t>
      </w:r>
      <w:r>
        <w:br/>
      </w:r>
      <w:hyperlink r:id="rId9">
        <w:r>
          <w:rPr>
            <w:rStyle w:val="Hyperlink"/>
          </w:rPr>
          <w:t xml:space="preserve">https://davidkirsch.me</w:t>
        </w:r>
      </w:hyperlink>
    </w:p>
    <w:p>
      <w:pPr>
        <w:pStyle w:val="Date"/>
      </w:pPr>
      <w:r>
        <w:t xml:space="preserve">July 2026</w:t>
      </w:r>
    </w:p>
    <w:p>
      <w:pPr>
        <w:pStyle w:val="AbstractTitle"/>
      </w:pPr>
      <w:r>
        <w:t xml:space="preserve">Abstract</w:t>
      </w:r>
    </w:p>
    <w:p>
      <w:pPr>
        <w:pStyle w:val="Abstract"/>
      </w:pPr>
      <w:r>
        <w:t xml:space="preserve">A companion paper</w:t>
      </w:r>
      <w:r>
        <w:t xml:space="preserve"> </w:t>
      </w:r>
      <w:r>
        <w:t xml:space="preserve"> </w:t>
      </w:r>
      <w:r>
        <w:t xml:space="preserve">proves that emergent properties—outputs requiring the joint satisfaction of independent, non-substitutable preconditions—compose via the unique multiplicative power-law</w:t>
      </w:r>
      <w:r>
        <w:t xml:space="preserve"> </w:t>
      </w:r>
      <m:oMath>
        <m:r>
          <m:t>f</m:t>
        </m:r>
        <m:r>
          <m:rPr>
            <m:sty m:val="p"/>
          </m:rPr>
          <m:t>(</m:t>
        </m:r>
        <m:r>
          <m:rPr>
            <m:sty m:val="bi"/>
          </m:rPr>
          <m:t>x</m:t>
        </m:r>
        <m:r>
          <m:rPr>
            <m:sty m:val="p"/>
          </m:rPr>
          <m:t>)</m:t>
        </m:r>
        <m:r>
          <m:rPr>
            <m:sty m:val="p"/>
          </m:rPr>
          <m:t>=</m:t>
        </m:r>
        <m:r>
          <m:t>k</m:t>
        </m:r>
        <m:r>
          <m:rPr>
            <m:sty m:val="p"/>
          </m:rPr>
          <m:t>∏</m:t>
        </m:r>
        <m:sSubSup>
          <m:e>
            <m:r>
              <m:t>x</m:t>
            </m:r>
          </m:e>
          <m:sub>
            <m:r>
              <m:t>i</m:t>
            </m:r>
          </m:sub>
          <m:sup>
            <m:sSub>
              <m:e>
                <m:r>
                  <m:t>α</m:t>
                </m:r>
              </m:e>
              <m:sub>
                <m:r>
                  <m:t>i</m:t>
                </m:r>
              </m:sub>
            </m:sSub>
          </m:sup>
        </m:sSubSup>
      </m:oMath>
      <w:r>
        <w:t xml:space="preserve">. That proof is axiomatic: five structural postulates determine the functional form. This paper provides the geometric foundation. We show that the multiplicative law arises naturally from the information geometry of independent observation channels. On a product statistical manifold</w:t>
      </w:r>
      <w:r>
        <w:t xml:space="preserve"> </w:t>
      </w:r>
      <m:oMath>
        <m:r>
          <m:rPr>
            <m:scr m:val="script"/>
            <m:sty m:val="p"/>
          </m:rPr>
          <m:t>M</m:t>
        </m:r>
        <m:r>
          <m:rPr>
            <m:sty m:val="p"/>
          </m:rPr>
          <m:t>=</m:t>
        </m:r>
        <m:sSub>
          <m:e>
            <m:r>
              <m:rPr>
                <m:scr m:val="script"/>
                <m:sty m:val="p"/>
              </m:rPr>
              <m:t>M</m:t>
            </m:r>
          </m:e>
          <m:sub>
            <m:r>
              <m:t>1</m:t>
            </m:r>
          </m:sub>
        </m:sSub>
        <m:r>
          <m:rPr>
            <m:sty m:val="p"/>
          </m:rPr>
          <m:t>×</m:t>
        </m:r>
        <m:r>
          <m:rPr>
            <m:sty m:val="p"/>
          </m:rPr>
          <m:t>⋯</m:t>
        </m:r>
        <m:r>
          <m:rPr>
            <m:sty m:val="p"/>
          </m:rPr>
          <m:t>×</m:t>
        </m:r>
        <m:sSub>
          <m:e>
            <m:r>
              <m:rPr>
                <m:scr m:val="script"/>
                <m:sty m:val="p"/>
              </m:rPr>
              <m:t>M</m:t>
            </m:r>
          </m:e>
          <m:sub>
            <m:r>
              <m:t>N</m:t>
            </m:r>
          </m:sub>
        </m:sSub>
      </m:oMath>
      <w:r>
        <w:t xml:space="preserve"> </w:t>
      </w:r>
      <w:r>
        <w:t xml:space="preserve">equipped with the Fisher-Rao metric</w:t>
      </w:r>
      <w:r>
        <w:t xml:space="preserve"> </w:t>
      </w:r>
      <m:oMath>
        <m:r>
          <m:t>g</m:t>
        </m:r>
      </m:oMath>
      <w:r>
        <w:t xml:space="preserve">, the Riemannian volume density factorizes as</w:t>
      </w:r>
      <w:r>
        <w:t xml:space="preserve"> </w:t>
      </w:r>
      <m:oMath>
        <m:rad>
          <m:radPr>
            <m:degHide m:val="on"/>
          </m:radPr>
          <m:deg/>
          <m:e>
            <m:r>
              <m:rPr>
                <m:sty m:val="p"/>
              </m:rPr>
              <m:t>det</m:t>
            </m:r>
            <m:r>
              <m:t>g</m:t>
            </m:r>
          </m:e>
        </m:rad>
        <m:r>
          <m:rPr>
            <m:sty m:val="p"/>
          </m:rPr>
          <m:t>=</m:t>
        </m:r>
        <m:nary>
          <m:naryPr>
            <m:chr m:val="∏"/>
            <m:limLoc m:val="undOvr"/>
            <m:subHide m:val="off"/>
            <m:supHide m:val="on"/>
          </m:naryPr>
          <m:sub>
            <m:r>
              <m:t>i</m:t>
            </m:r>
          </m:sub>
          <m:sup>
            <m:r>
              <m:t>​</m:t>
            </m:r>
          </m:sup>
          <m:e>
            <m:rad>
              <m:radPr>
                <m:degHide m:val="on"/>
              </m:radPr>
              <m:deg/>
              <m:e>
                <m:sSub>
                  <m:e>
                    <m:r>
                      <m:t>g</m:t>
                    </m:r>
                  </m:e>
                  <m:sub>
                    <m:r>
                      <m:t>i</m:t>
                    </m:r>
                    <m:r>
                      <m:t>i</m:t>
                    </m:r>
                  </m:sub>
                </m:sSub>
                <m:r>
                  <m:rPr>
                    <m:sty m:val="p"/>
                  </m:rPr>
                  <m:t>(</m:t>
                </m:r>
                <m:sSub>
                  <m:e>
                    <m:r>
                      <m:t>θ</m:t>
                    </m:r>
                  </m:e>
                  <m:sub>
                    <m:r>
                      <m:t>i</m:t>
                    </m:r>
                  </m:sub>
                </m:sSub>
                <m:r>
                  <m:rPr>
                    <m:sty m:val="p"/>
                  </m:rPr>
                  <m:t>)</m:t>
                </m:r>
              </m:e>
            </m:rad>
          </m:e>
        </m:nary>
      </m:oMath>
      <w:r>
        <w:t xml:space="preserve">. We construct a concrete statistical model—</w:t>
      </w:r>
      <m:oMath>
        <m:r>
          <m:t>N</m:t>
        </m:r>
      </m:oMath>
      <w:r>
        <w:t xml:space="preserve"> </w:t>
      </w:r>
      <w:r>
        <w:t xml:space="preserve">independent channels with power-law response functions</w:t>
      </w:r>
      <w:r>
        <w:t xml:space="preserve"> </w:t>
      </w:r>
      <m:oMath>
        <m:sSub>
          <m:e>
            <m:r>
              <m:t>μ</m:t>
            </m:r>
          </m:e>
          <m:sub>
            <m:r>
              <m:t>i</m:t>
            </m:r>
          </m:sub>
        </m:sSub>
        <m:r>
          <m:rPr>
            <m:sty m:val="p"/>
          </m:rPr>
          <m:t>(</m:t>
        </m:r>
        <m:sSub>
          <m:e>
            <m:r>
              <m:t>θ</m:t>
            </m:r>
          </m:e>
          <m:sub>
            <m:r>
              <m:t>i</m:t>
            </m:r>
          </m:sub>
        </m:sSub>
        <m:r>
          <m:rPr>
            <m:sty m:val="p"/>
          </m:rPr>
          <m:t>)</m:t>
        </m:r>
        <m:r>
          <m:rPr>
            <m:sty m:val="p"/>
          </m:rPr>
          <m:t>=</m:t>
        </m:r>
        <m:sSubSup>
          <m:e>
            <m:r>
              <m:t>θ</m:t>
            </m:r>
          </m:e>
          <m:sub>
            <m:r>
              <m:t>i</m:t>
            </m:r>
          </m:sub>
          <m:sup>
            <m:sSub>
              <m:e>
                <m:r>
                  <m:t>q</m:t>
                </m:r>
              </m:e>
              <m:sub>
                <m:r>
                  <m:t>i</m:t>
                </m:r>
              </m:sub>
            </m:sSub>
          </m:sup>
        </m:sSubSup>
      </m:oMath>
      <w:r>
        <w:t xml:space="preserve">,</w:t>
      </w:r>
      <w:r>
        <w:t xml:space="preserve"> </w:t>
      </w:r>
      <m:oMath>
        <m:sSub>
          <m:e>
            <m:r>
              <m:t>q</m:t>
            </m:r>
          </m:e>
          <m:sub>
            <m:r>
              <m:t>i</m:t>
            </m:r>
          </m:sub>
        </m:sSub>
        <m:r>
          <m:rPr>
            <m:sty m:val="p"/>
          </m:rPr>
          <m:t>&gt;</m:t>
        </m:r>
        <m:r>
          <m:t>1</m:t>
        </m:r>
      </m:oMath>
      <w:r>
        <w:t xml:space="preserve">—under which</w:t>
      </w:r>
      <w:r>
        <w:t xml:space="preserve"> </w:t>
      </w:r>
      <m:oMath>
        <m:rad>
          <m:radPr>
            <m:degHide m:val="on"/>
          </m:radPr>
          <m:deg/>
          <m:e>
            <m:r>
              <m:rPr>
                <m:sty m:val="p"/>
              </m:rPr>
              <m:t>det</m:t>
            </m:r>
            <m:r>
              <m:t>g</m:t>
            </m:r>
            <m:r>
              <m:rPr>
                <m:sty m:val="p"/>
              </m:rPr>
              <m:t>(</m:t>
            </m:r>
            <m:r>
              <m:rPr>
                <m:sty m:val="bi"/>
              </m:rPr>
              <m:t>θ</m:t>
            </m:r>
            <m:r>
              <m:rPr>
                <m:sty m:val="p"/>
              </m:rPr>
              <m:t>)</m:t>
            </m:r>
          </m:e>
        </m:rad>
        <m:r>
          <m:rPr>
            <m:sty m:val="p"/>
          </m:rPr>
          <m:t>=</m:t>
        </m:r>
        <m:r>
          <m:t>k</m:t>
        </m:r>
        <m:r>
          <m:rPr>
            <m:sty m:val="p"/>
          </m:rPr>
          <m:t>∏</m:t>
        </m:r>
        <m:sSubSup>
          <m:e>
            <m:r>
              <m:t>θ</m:t>
            </m:r>
          </m:e>
          <m:sub>
            <m:r>
              <m:t>i</m:t>
            </m:r>
          </m:sub>
          <m:sup>
            <m:sSub>
              <m:e>
                <m:r>
                  <m:t>α</m:t>
                </m:r>
              </m:e>
              <m:sub>
                <m:r>
                  <m:t>i</m:t>
                </m:r>
              </m:sub>
            </m:sSub>
          </m:sup>
        </m:sSubSup>
      </m:oMath>
      <w:r>
        <w:t xml:space="preserve"> </w:t>
      </w:r>
      <w:r>
        <w:t xml:space="preserve">with</w:t>
      </w:r>
      <w:r>
        <w:t xml:space="preserve"> </w:t>
      </w:r>
      <m:oMath>
        <m:sSub>
          <m:e>
            <m:r>
              <m:t>α</m:t>
            </m:r>
          </m:e>
          <m:sub>
            <m:r>
              <m:t>i</m:t>
            </m:r>
          </m:sub>
        </m:sSub>
        <m:r>
          <m:rPr>
            <m:sty m:val="p"/>
          </m:rPr>
          <m:t>=</m:t>
        </m:r>
        <m:sSub>
          <m:e>
            <m:r>
              <m:t>q</m:t>
            </m:r>
          </m:e>
          <m:sub>
            <m:r>
              <m:t>i</m:t>
            </m:r>
          </m:sub>
        </m:sSub>
        <m:r>
          <m:rPr>
            <m:sty m:val="p"/>
          </m:rPr>
          <m:t>−</m:t>
        </m:r>
        <m:r>
          <m:t>1</m:t>
        </m:r>
        <m:r>
          <m:rPr>
            <m:sty m:val="p"/>
          </m:rPr>
          <m:t>&gt;</m:t>
        </m:r>
        <m:r>
          <m:t>0</m:t>
        </m:r>
      </m:oMath>
      <w:r>
        <w:t xml:space="preserve">, recovering the multiplicative composition law exactly. The five axioms of</w:t>
      </w:r>
      <w:r>
        <w:t xml:space="preserve"> </w:t>
      </w:r>
      <w:r>
        <w:t xml:space="preserve"> </w:t>
      </w:r>
      <w:r>
        <w:t xml:space="preserve">are shown to be consequences of the geometry: separability from the product structure, zero-collapse from the vanishing of Fisher information at degenerate channels, monotonicity from increasing distinguishability, and homogeneity from the power-law response. We identify a duality between two natural geometric invariants on product manifolds: scalar curvature, which is additive (</w:t>
      </w:r>
      <m:oMath>
        <m:r>
          <m:t>R</m:t>
        </m:r>
        <m:r>
          <m:rPr>
            <m:sty m:val="p"/>
          </m:rPr>
          <m:t>(</m:t>
        </m:r>
        <m:sSub>
          <m:e>
            <m:r>
              <m:t>M</m:t>
            </m:r>
          </m:e>
          <m:sub>
            <m:r>
              <m:t>1</m:t>
            </m:r>
          </m:sub>
        </m:sSub>
        <m:r>
          <m:rPr>
            <m:sty m:val="p"/>
          </m:rPr>
          <m:t>×</m:t>
        </m:r>
        <m:sSub>
          <m:e>
            <m:r>
              <m:t>M</m:t>
            </m:r>
          </m:e>
          <m:sub>
            <m:r>
              <m:t>2</m:t>
            </m:r>
          </m:sub>
        </m:sSub>
        <m:r>
          <m:rPr>
            <m:sty m:val="p"/>
          </m:rPr>
          <m:t>)</m:t>
        </m:r>
        <m:r>
          <m:rPr>
            <m:sty m:val="p"/>
          </m:rPr>
          <m:t>=</m:t>
        </m:r>
        <m:r>
          <m:t>R</m:t>
        </m:r>
        <m:r>
          <m:rPr>
            <m:sty m:val="p"/>
          </m:rPr>
          <m:t>(</m:t>
        </m:r>
        <m:sSub>
          <m:e>
            <m:r>
              <m:t>M</m:t>
            </m:r>
          </m:e>
          <m:sub>
            <m:r>
              <m:t>1</m:t>
            </m:r>
          </m:sub>
        </m:sSub>
        <m:r>
          <m:rPr>
            <m:sty m:val="p"/>
          </m:rPr>
          <m:t>)</m:t>
        </m:r>
        <m:r>
          <m:rPr>
            <m:sty m:val="p"/>
          </m:rPr>
          <m:t>+</m:t>
        </m:r>
        <m:r>
          <m:t>R</m:t>
        </m:r>
        <m:r>
          <m:rPr>
            <m:sty m:val="p"/>
          </m:rPr>
          <m:t>(</m:t>
        </m:r>
        <m:sSub>
          <m:e>
            <m:r>
              <m:t>M</m:t>
            </m:r>
          </m:e>
          <m:sub>
            <m:r>
              <m:t>2</m:t>
            </m:r>
          </m:sub>
        </m:sSub>
        <m:r>
          <m:rPr>
            <m:sty m:val="p"/>
          </m:rPr>
          <m:t>)</m:t>
        </m:r>
      </m:oMath>
      <w:r>
        <w:t xml:space="preserve">), and volume density, which is multiplicative (</w:t>
      </w:r>
      <m:oMath>
        <m:rad>
          <m:radPr>
            <m:degHide m:val="on"/>
          </m:radPr>
          <m:deg/>
          <m:e>
            <m:r>
              <m:rPr>
                <m:sty m:val="p"/>
              </m:rPr>
              <m:t>det</m:t>
            </m:r>
            <m:r>
              <m:t>g</m:t>
            </m:r>
          </m:e>
        </m:rad>
        <m:r>
          <m:rPr>
            <m:sty m:val="p"/>
          </m:rPr>
          <m:t>=</m:t>
        </m:r>
        <m:r>
          <m:rPr>
            <m:sty m:val="p"/>
          </m:rPr>
          <m:t>∏</m:t>
        </m:r>
        <m:rad>
          <m:radPr>
            <m:degHide m:val="on"/>
          </m:radPr>
          <m:deg/>
          <m:e>
            <m:sSub>
              <m:e>
                <m:r>
                  <m:t>g</m:t>
                </m:r>
              </m:e>
              <m:sub>
                <m:r>
                  <m:t>i</m:t>
                </m:r>
                <m:r>
                  <m:t>i</m:t>
                </m:r>
              </m:sub>
            </m:sSub>
          </m:e>
        </m:rad>
      </m:oMath>
      <w:r>
        <w:t xml:space="preserve">). This duality gives geometric content to the scope condition of</w:t>
      </w:r>
      <w:r>
        <w:t xml:space="preserve"> </w:t>
      </w:r>
      <w:r>
        <w:t xml:space="preserve">: substitutable dimensions compose through curvature (additive); non-substitutable dimensions compose through volume (multiplicative). The same manifold supports both structures. The choice between them is not a modeling preference—it is a geometric fact about which invariant captures the relevant physical quantity.</w:t>
      </w:r>
    </w:p>
    <w:p>
      <w:pPr>
        <w:pStyle w:val="FirstParagraph"/>
      </w:pPr>
      <w:r>
        <w:rPr>
          <w:b/>
          <w:bCs/>
        </w:rPr>
        <w:t xml:space="preserve">Keywords:</w:t>
      </w:r>
      <w:r>
        <w:t xml:space="preserve"> </w:t>
      </w:r>
      <w:r>
        <w:t xml:space="preserve">information geometry, Fisher information, Riemannian volume element, multiplicative composition, statistical manifold, emergence</w:t>
      </w:r>
    </w:p>
    <w:p>
      <w:pPr>
        <w:pStyle w:val="BodyText"/>
      </w:pPr>
      <w:r>
        <w:rPr>
          <w:b/>
          <w:bCs/>
        </w:rPr>
        <w:t xml:space="preserve">MSC:</w:t>
      </w:r>
      <w:r>
        <w:t xml:space="preserve"> </w:t>
      </w:r>
      <w:r>
        <w:t xml:space="preserve">53B12, 62B10, 94A17, 39B22</w:t>
      </w:r>
    </w:p>
    <w:bookmarkStart w:id="12" w:name="sec:intro"/>
    <w:p>
      <w:pPr>
        <w:pStyle w:val="Heading1"/>
      </w:pPr>
      <w:r>
        <w:t xml:space="preserve">Introduction</w:t>
      </w:r>
    </w:p>
    <w:p>
      <w:pPr>
        <w:pStyle w:val="FirstParagraph"/>
      </w:pPr>
      <w:r>
        <w:t xml:space="preserve">In</w:t>
      </w:r>
      <w:r>
        <w:t xml:space="preserve"> </w:t>
      </w:r>
      <w:r>
        <w:t xml:space="preserve">, we proved that the composition of independent, non-substitutable dimensions producing an emergent property is uniquely determined by five structural axioms (zero-collapse, continuity, monotonicity, homogeneity, and separability) to be the multiplicative power-law form:</w:t>
      </w:r>
    </w:p>
    <w:p>
      <w:pPr>
        <w:pStyle w:val="BodyText"/>
      </w:pPr>
      <m:oMathPara>
        <m:oMathParaPr>
          <m:jc m:val="center"/>
        </m:oMathParaPr>
        <m:oMath>
          <m:r>
            <m:t>f</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r>
            <m:t>k</m:t>
          </m:r>
          <m:nary>
            <m:naryPr>
              <m:chr m:val="∏"/>
              <m:limLoc m:val="undOvr"/>
              <m:subHide m:val="off"/>
              <m:supHide m:val="off"/>
            </m:naryPr>
            <m:sub>
              <m:r>
                <m:t>i</m:t>
              </m:r>
              <m:r>
                <m:rPr>
                  <m:sty m:val="p"/>
                </m:rPr>
                <m:t>=</m:t>
              </m:r>
              <m:r>
                <m:t>1</m:t>
              </m:r>
            </m:sub>
            <m:sup>
              <m:r>
                <m:t>N</m:t>
              </m:r>
            </m:sup>
            <m:e>
              <m:sSubSup>
                <m:e>
                  <m:r>
                    <m:t>x</m:t>
                  </m:r>
                </m:e>
                <m:sub>
                  <m:r>
                    <m:t>i</m:t>
                  </m:r>
                </m:sub>
                <m:sup>
                  <m:sSub>
                    <m:e>
                      <m:r>
                        <m:t>α</m:t>
                      </m:r>
                    </m:e>
                    <m:sub>
                      <m:r>
                        <m:t>i</m:t>
                      </m:r>
                    </m:sub>
                  </m:sSub>
                </m:sup>
              </m:sSubSup>
            </m:e>
          </m:nary>
          <m:r>
            <m:rPr>
              <m:sty m:val="p"/>
            </m:rPr>
            <m:t>,</m:t>
          </m:r>
          <m:r>
            <m:t> </m:t>
          </m:r>
          <m:r>
            <m:t>k</m:t>
          </m:r>
          <m:r>
            <m:rPr>
              <m:sty m:val="p"/>
            </m:rPr>
            <m:t>&gt;</m:t>
          </m:r>
          <m:r>
            <m:t>0</m:t>
          </m:r>
          <m:r>
            <m:rPr>
              <m:sty m:val="p"/>
            </m:rPr>
            <m:t>,</m:t>
          </m:r>
          <m:r>
            <m:t> </m:t>
          </m:r>
          <m:sSub>
            <m:e>
              <m:r>
                <m:t>α</m:t>
              </m:r>
            </m:e>
            <m:sub>
              <m:r>
                <m:t>i</m:t>
              </m:r>
            </m:sub>
          </m:sSub>
          <m:r>
            <m:rPr>
              <m:sty m:val="p"/>
            </m:rPr>
            <m:t>&gt;</m:t>
          </m:r>
          <m:r>
            <m:t>0</m:t>
          </m:r>
          <m:r>
            <m:rPr>
              <m:sty m:val="p"/>
            </m:rPr>
            <m:t>.</m:t>
          </m:r>
        </m:oMath>
      </m:oMathPara>
    </w:p>
    <w:p>
      <w:pPr>
        <w:pStyle w:val="FirstParagraph"/>
      </w:pPr>
      <w:r>
        <w:t xml:space="preserve">The proof applies Aczél’s theory of functional equations</w:t>
      </w:r>
      <w:r>
        <w:t xml:space="preserve"> </w:t>
      </w:r>
      <w:r>
        <w:t xml:space="preserve"> </w:t>
      </w:r>
      <w:r>
        <w:t xml:space="preserve">and is validated empirically across eight scientific fields. But the axiomatic approach leaves a question open:</w:t>
      </w:r>
      <w:r>
        <w:t xml:space="preserve"> </w:t>
      </w:r>
      <w:r>
        <w:rPr>
          <w:i/>
          <w:iCs/>
        </w:rPr>
        <w:t xml:space="preserve">why</w:t>
      </w:r>
      <w:r>
        <w:t xml:space="preserve"> </w:t>
      </w:r>
      <w:r>
        <w:t xml:space="preserve">these axioms? Are they contingent postulates, or do they follow from something deeper?</w:t>
      </w:r>
    </w:p>
    <w:p>
      <w:pPr>
        <w:pStyle w:val="BodyText"/>
      </w:pPr>
      <w:r>
        <w:t xml:space="preserve">This paper answers: the axioms are consequences of the information geometry of independent observation channels. The multiplicative form is not merely consistent with five postulates—it is the Riemannian volume density on a product statistical manifold equipped with the Fisher-Rao metric, under a natural class of statistical models.</w:t>
      </w:r>
    </w:p>
    <w:p>
      <w:pPr>
        <w:pStyle w:val="BodyText"/>
      </w:pPr>
      <w:r>
        <w:t xml:space="preserve">The argument proceeds in three layers, each adding specificity.</w:t>
      </w:r>
    </w:p>
    <w:p>
      <w:pPr>
        <w:pStyle w:val="BodyText"/>
      </w:pPr>
      <w:r>
        <w:rPr>
          <w:i/>
          <w:iCs/>
        </w:rPr>
        <w:t xml:space="preserve">Layer 1 (geometric, unconditional).</w:t>
      </w:r>
      <w:r>
        <w:t xml:space="preserve"> </w:t>
      </w:r>
      <w:r>
        <w:t xml:space="preserve">On any product Riemannian manifold</w:t>
      </w:r>
      <w:r>
        <w:t xml:space="preserve"> </w:t>
      </w:r>
      <m:oMath>
        <m:r>
          <m:rPr>
            <m:scr m:val="script"/>
            <m:sty m:val="p"/>
          </m:rPr>
          <m:t>M</m:t>
        </m:r>
        <m:r>
          <m:rPr>
            <m:sty m:val="p"/>
          </m:rPr>
          <m:t>=</m:t>
        </m:r>
        <m:sSub>
          <m:e>
            <m:r>
              <m:rPr>
                <m:scr m:val="script"/>
                <m:sty m:val="p"/>
              </m:rPr>
              <m:t>M</m:t>
            </m:r>
          </m:e>
          <m:sub>
            <m:r>
              <m:t>1</m:t>
            </m:r>
          </m:sub>
        </m:sSub>
        <m:r>
          <m:rPr>
            <m:sty m:val="p"/>
          </m:rPr>
          <m:t>×</m:t>
        </m:r>
        <m:r>
          <m:rPr>
            <m:sty m:val="p"/>
          </m:rPr>
          <m:t>⋯</m:t>
        </m:r>
        <m:r>
          <m:rPr>
            <m:sty m:val="p"/>
          </m:rPr>
          <m:t>×</m:t>
        </m:r>
        <m:sSub>
          <m:e>
            <m:r>
              <m:rPr>
                <m:scr m:val="script"/>
                <m:sty m:val="p"/>
              </m:rPr>
              <m:t>M</m:t>
            </m:r>
          </m:e>
          <m:sub>
            <m:r>
              <m:t>N</m:t>
            </m:r>
          </m:sub>
        </m:sSub>
      </m:oMath>
      <w:r>
        <w:t xml:space="preserve"> </w:t>
      </w:r>
      <w:r>
        <w:t xml:space="preserve">with metric</w:t>
      </w:r>
      <w:r>
        <w:t xml:space="preserve"> </w:t>
      </w:r>
      <m:oMath>
        <m:r>
          <m:t>g</m:t>
        </m:r>
        <m:r>
          <m:rPr>
            <m:sty m:val="p"/>
          </m:rPr>
          <m:t>=</m:t>
        </m:r>
        <m:sSub>
          <m:e>
            <m:r>
              <m:t>g</m:t>
            </m:r>
          </m:e>
          <m:sub>
            <m:r>
              <m:t>1</m:t>
            </m:r>
          </m:sub>
        </m:sSub>
        <m:r>
          <m:rPr>
            <m:sty m:val="p"/>
          </m:rPr>
          <m:t>⊕</m:t>
        </m:r>
        <m:r>
          <m:rPr>
            <m:sty m:val="p"/>
          </m:rPr>
          <m:t>⋯</m:t>
        </m:r>
        <m:r>
          <m:rPr>
            <m:sty m:val="p"/>
          </m:rPr>
          <m:t>⊕</m:t>
        </m:r>
        <m:sSub>
          <m:e>
            <m:r>
              <m:t>g</m:t>
            </m:r>
          </m:e>
          <m:sub>
            <m:r>
              <m:t>N</m:t>
            </m:r>
          </m:sub>
        </m:sSub>
      </m:oMath>
      <w:r>
        <w:t xml:space="preserve">, the volume density factorizes:</w:t>
      </w:r>
    </w:p>
    <w:p>
      <w:pPr>
        <w:pStyle w:val="BodyText"/>
      </w:pPr>
      <m:oMathPara>
        <m:oMathParaPr>
          <m:jc m:val="center"/>
        </m:oMathParaPr>
        <m:oMath>
          <m:rad>
            <m:radPr>
              <m:degHide m:val="on"/>
            </m:radPr>
            <m:deg/>
            <m:e>
              <m:r>
                <m:rPr>
                  <m:sty m:val="p"/>
                </m:rPr>
                <m:t>det</m:t>
              </m:r>
              <m:r>
                <m:t>g</m:t>
              </m:r>
            </m:e>
          </m:rad>
          <m:r>
            <m:rPr>
              <m:sty m:val="p"/>
            </m:rPr>
            <m:t>=</m:t>
          </m:r>
          <m:nary>
            <m:naryPr>
              <m:chr m:val="∏"/>
              <m:limLoc m:val="undOvr"/>
              <m:subHide m:val="off"/>
              <m:supHide m:val="off"/>
            </m:naryPr>
            <m:sub>
              <m:r>
                <m:t>i</m:t>
              </m:r>
              <m:r>
                <m:rPr>
                  <m:sty m:val="p"/>
                </m:rPr>
                <m:t>=</m:t>
              </m:r>
              <m:r>
                <m:t>1</m:t>
              </m:r>
            </m:sub>
            <m:sup>
              <m:r>
                <m:t>N</m:t>
              </m:r>
            </m:sup>
            <m:e>
              <m:rad>
                <m:radPr>
                  <m:degHide m:val="on"/>
                </m:radPr>
                <m:deg/>
                <m:e>
                  <m:r>
                    <m:rPr>
                      <m:sty m:val="p"/>
                    </m:rPr>
                    <m:t>det</m:t>
                  </m:r>
                  <m:sSub>
                    <m:e>
                      <m:r>
                        <m:t>g</m:t>
                      </m:r>
                    </m:e>
                    <m:sub>
                      <m:r>
                        <m:t>i</m:t>
                      </m:r>
                    </m:sub>
                  </m:sSub>
                </m:e>
              </m:rad>
            </m:e>
          </m:nary>
          <m:r>
            <m:rPr>
              <m:sty m:val="p"/>
            </m:rPr>
            <m:t>.</m:t>
          </m:r>
        </m:oMath>
      </m:oMathPara>
    </w:p>
    <w:p>
      <w:pPr>
        <w:pStyle w:val="FirstParagraph"/>
      </w:pPr>
      <w:r>
        <w:t xml:space="preserve">For one-dimensional factors,</w:t>
      </w:r>
      <w:r>
        <w:t xml:space="preserve"> </w:t>
      </w:r>
      <m:oMath>
        <m:rad>
          <m:radPr>
            <m:degHide m:val="on"/>
          </m:radPr>
          <m:deg/>
          <m:e>
            <m:r>
              <m:rPr>
                <m:sty m:val="p"/>
              </m:rPr>
              <m:t>det</m:t>
            </m:r>
            <m:sSub>
              <m:e>
                <m:r>
                  <m:t>g</m:t>
                </m:r>
              </m:e>
              <m:sub>
                <m:r>
                  <m:t>i</m:t>
                </m:r>
              </m:sub>
            </m:sSub>
          </m:e>
        </m:rad>
        <m:r>
          <m:rPr>
            <m:sty m:val="p"/>
          </m:rPr>
          <m:t>=</m:t>
        </m:r>
        <m:rad>
          <m:radPr>
            <m:degHide m:val="on"/>
          </m:radPr>
          <m:deg/>
          <m:e>
            <m:sSub>
              <m:e>
                <m:r>
                  <m:t>g</m:t>
                </m:r>
              </m:e>
              <m:sub>
                <m:r>
                  <m:t>i</m:t>
                </m:r>
                <m:r>
                  <m:t>i</m:t>
                </m:r>
              </m:sub>
            </m:sSub>
            <m:r>
              <m:rPr>
                <m:sty m:val="p"/>
              </m:rPr>
              <m:t>(</m:t>
            </m:r>
            <m:sSub>
              <m:e>
                <m:r>
                  <m:t>θ</m:t>
                </m:r>
              </m:e>
              <m:sub>
                <m:r>
                  <m:t>i</m:t>
                </m:r>
              </m:sub>
            </m:sSub>
            <m:r>
              <m:rPr>
                <m:sty m:val="p"/>
              </m:rPr>
              <m:t>)</m:t>
            </m:r>
          </m:e>
        </m:rad>
      </m:oMath>
      <w:r>
        <w:t xml:space="preserve">. This factorization is a standard result in Riemannian geometry. Applied to statistical manifolds with the Fisher-Rao metric, it establishes that informational volume composes multiplicatively for independent dimensions. No assumptions about functional form are needed.</w:t>
      </w:r>
    </w:p>
    <w:p>
      <w:pPr>
        <w:pStyle w:val="BodyText"/>
      </w:pPr>
      <w:r>
        <w:rPr>
          <w:i/>
          <w:iCs/>
        </w:rPr>
        <w:t xml:space="preserve">Layer 2 (the statistical model).</w:t>
      </w:r>
      <w:r>
        <w:t xml:space="preserve"> </w:t>
      </w:r>
      <w:r>
        <w:t xml:space="preserve">We construct a family of</w:t>
      </w:r>
      <w:r>
        <w:t xml:space="preserve"> </w:t>
      </w:r>
      <m:oMath>
        <m:r>
          <m:t>N</m:t>
        </m:r>
      </m:oMath>
      <w:r>
        <w:t xml:space="preserve"> </w:t>
      </w:r>
      <w:r>
        <w:t xml:space="preserve">independent observation channels with power-law response functions. Channel</w:t>
      </w:r>
      <w:r>
        <w:t xml:space="preserve"> </w:t>
      </w:r>
      <m:oMath>
        <m:r>
          <m:t>i</m:t>
        </m:r>
      </m:oMath>
      <w:r>
        <w:t xml:space="preserve"> </w:t>
      </w:r>
      <w:r>
        <w:t xml:space="preserve">produces observations</w:t>
      </w:r>
      <w:r>
        <w:t xml:space="preserve"> </w:t>
      </w:r>
      <m:oMath>
        <m:sSub>
          <m:e>
            <m:r>
              <m:t>Y</m:t>
            </m:r>
          </m:e>
          <m:sub>
            <m:r>
              <m:t>i</m:t>
            </m:r>
          </m:sub>
        </m:sSub>
        <m:r>
          <m:rPr>
            <m:sty m:val="p"/>
          </m:rPr>
          <m:t>∼</m:t>
        </m:r>
        <m:r>
          <m:t>p</m:t>
        </m:r>
        <m:r>
          <m:rPr>
            <m:sty m:val="p"/>
          </m:rPr>
          <m:t>(</m:t>
        </m:r>
        <m:sSub>
          <m:e>
            <m:r>
              <m:t>y</m:t>
            </m:r>
          </m:e>
          <m:sub>
            <m:r>
              <m:t>i</m:t>
            </m:r>
          </m:sub>
        </m:sSub>
        <m:r>
          <m:rPr>
            <m:sty m:val="p"/>
          </m:rPr>
          <m:t>∣</m:t>
        </m:r>
        <m:sSub>
          <m:e>
            <m:r>
              <m:t>θ</m:t>
            </m:r>
          </m:e>
          <m:sub>
            <m:r>
              <m:t>i</m:t>
            </m:r>
          </m:sub>
        </m:sSub>
        <m:r>
          <m:rPr>
            <m:sty m:val="p"/>
          </m:rPr>
          <m:t>)</m:t>
        </m:r>
      </m:oMath>
      <w:r>
        <w:t xml:space="preserve"> </w:t>
      </w:r>
      <w:r>
        <w:t xml:space="preserve">with signal</w:t>
      </w:r>
      <w:r>
        <w:t xml:space="preserve"> </w:t>
      </w:r>
      <m:oMath>
        <m:sSub>
          <m:e>
            <m:r>
              <m:t>μ</m:t>
            </m:r>
          </m:e>
          <m:sub>
            <m:r>
              <m:t>i</m:t>
            </m:r>
          </m:sub>
        </m:sSub>
        <m:r>
          <m:rPr>
            <m:sty m:val="p"/>
          </m:rPr>
          <m:t>(</m:t>
        </m:r>
        <m:sSub>
          <m:e>
            <m:r>
              <m:t>θ</m:t>
            </m:r>
          </m:e>
          <m:sub>
            <m:r>
              <m:t>i</m:t>
            </m:r>
          </m:sub>
        </m:sSub>
        <m:r>
          <m:rPr>
            <m:sty m:val="p"/>
          </m:rPr>
          <m:t>)</m:t>
        </m:r>
        <m:r>
          <m:rPr>
            <m:sty m:val="p"/>
          </m:rPr>
          <m:t>=</m:t>
        </m:r>
        <m:sSubSup>
          <m:e>
            <m:r>
              <m:t>θ</m:t>
            </m:r>
          </m:e>
          <m:sub>
            <m:r>
              <m:t>i</m:t>
            </m:r>
          </m:sub>
          <m:sup>
            <m:sSub>
              <m:e>
                <m:r>
                  <m:t>q</m:t>
                </m:r>
              </m:e>
              <m:sub>
                <m:r>
                  <m:t>i</m:t>
                </m:r>
              </m:sub>
            </m:sSub>
          </m:sup>
        </m:sSubSup>
      </m:oMath>
      <w:r>
        <w:t xml:space="preserve">, where</w:t>
      </w:r>
      <w:r>
        <w:t xml:space="preserve"> </w:t>
      </w:r>
      <m:oMath>
        <m:sSub>
          <m:e>
            <m:r>
              <m:t>q</m:t>
            </m:r>
          </m:e>
          <m:sub>
            <m:r>
              <m:t>i</m:t>
            </m:r>
          </m:sub>
        </m:sSub>
        <m:r>
          <m:rPr>
            <m:sty m:val="p"/>
          </m:rPr>
          <m:t>&gt;</m:t>
        </m:r>
        <m:r>
          <m:t>1</m:t>
        </m:r>
      </m:oMath>
      <w:r>
        <w:t xml:space="preserve"> </w:t>
      </w:r>
      <w:r>
        <w:t xml:space="preserve">is the response order. The Fisher information for this model is:</w:t>
      </w:r>
    </w:p>
    <w:p>
      <w:pPr>
        <w:pStyle w:val="BodyText"/>
      </w:pPr>
      <m:oMathPara>
        <m:oMathParaPr>
          <m:jc m:val="center"/>
        </m:oMathParaPr>
        <m:oMath>
          <m:sSub>
            <m:e>
              <m:r>
                <m:t>g</m:t>
              </m:r>
            </m:e>
            <m:sub>
              <m:r>
                <m:t>i</m:t>
              </m:r>
              <m:r>
                <m:t>i</m:t>
              </m:r>
            </m:sub>
          </m:sSub>
          <m:r>
            <m:rPr>
              <m:sty m:val="p"/>
            </m:rPr>
            <m:t>(</m:t>
          </m:r>
          <m:sSub>
            <m:e>
              <m:r>
                <m:t>θ</m:t>
              </m:r>
            </m:e>
            <m:sub>
              <m:r>
                <m:t>i</m:t>
              </m:r>
            </m:sub>
          </m:sSub>
          <m:r>
            <m:rPr>
              <m:sty m:val="p"/>
            </m:rPr>
            <m:t>)</m:t>
          </m:r>
          <m:r>
            <m:rPr>
              <m:sty m:val="p"/>
            </m:rPr>
            <m:t>=</m:t>
          </m:r>
          <m:sSub>
            <m:e>
              <m:r>
                <m:t>c</m:t>
              </m:r>
            </m:e>
            <m:sub>
              <m:r>
                <m:t>i</m:t>
              </m:r>
            </m:sub>
          </m:sSub>
          <m:r>
            <m:t> </m:t>
          </m:r>
          <m:sSubSup>
            <m:e>
              <m:r>
                <m:t>θ</m:t>
              </m:r>
            </m:e>
            <m:sub>
              <m:r>
                <m:t>i</m:t>
              </m:r>
            </m:sub>
            <m:sup>
              <m:r>
                <m:t>2</m:t>
              </m:r>
              <m:r>
                <m:rPr>
                  <m:sty m:val="p"/>
                </m:rPr>
                <m:t>(</m:t>
              </m:r>
              <m:sSub>
                <m:e>
                  <m:r>
                    <m:t>q</m:t>
                  </m:r>
                </m:e>
                <m:sub>
                  <m:r>
                    <m:t>i</m:t>
                  </m:r>
                </m:sub>
              </m:sSub>
              <m:r>
                <m:rPr>
                  <m:sty m:val="p"/>
                </m:rPr>
                <m:t>−</m:t>
              </m:r>
              <m:r>
                <m:t>1</m:t>
              </m:r>
              <m:r>
                <m:rPr>
                  <m:sty m:val="p"/>
                </m:rPr>
                <m:t>)</m:t>
              </m:r>
            </m:sup>
          </m:sSubSup>
        </m:oMath>
      </m:oMathPara>
    </w:p>
    <w:p>
      <w:pPr>
        <w:pStyle w:val="FirstParagraph"/>
      </w:pPr>
      <w:r>
        <w:t xml:space="preserve">for a constant</w:t>
      </w:r>
      <w:r>
        <w:t xml:space="preserve"> </w:t>
      </w:r>
      <m:oMath>
        <m:sSub>
          <m:e>
            <m:r>
              <m:t>c</m:t>
            </m:r>
          </m:e>
          <m:sub>
            <m:r>
              <m:t>i</m:t>
            </m:r>
          </m:sub>
        </m:sSub>
        <m:r>
          <m:rPr>
            <m:sty m:val="p"/>
          </m:rPr>
          <m:t>&gt;</m:t>
        </m:r>
        <m:r>
          <m:t>0</m:t>
        </m:r>
      </m:oMath>
      <w:r>
        <w:t xml:space="preserve"> </w:t>
      </w:r>
      <w:r>
        <w:t xml:space="preserve">depending on the noise distribution. Setting</w:t>
      </w:r>
      <w:r>
        <w:t xml:space="preserve"> </w:t>
      </w:r>
      <m:oMath>
        <m:sSub>
          <m:e>
            <m:r>
              <m:t>α</m:t>
            </m:r>
          </m:e>
          <m:sub>
            <m:r>
              <m:t>i</m:t>
            </m:r>
          </m:sub>
        </m:sSub>
        <m:r>
          <m:rPr>
            <m:sty m:val="p"/>
          </m:rPr>
          <m:t>=</m:t>
        </m:r>
        <m:sSub>
          <m:e>
            <m:r>
              <m:t>q</m:t>
            </m:r>
          </m:e>
          <m:sub>
            <m:r>
              <m:t>i</m:t>
            </m:r>
          </m:sub>
        </m:sSub>
        <m:r>
          <m:rPr>
            <m:sty m:val="p"/>
          </m:rPr>
          <m:t>−</m:t>
        </m:r>
        <m:r>
          <m:t>1</m:t>
        </m:r>
      </m:oMath>
      <w:r>
        <w:t xml:space="preserve">, the volume density becomes</w:t>
      </w:r>
      <w:r>
        <w:t xml:space="preserve"> </w:t>
      </w:r>
      <m:oMath>
        <m:rad>
          <m:radPr>
            <m:degHide m:val="on"/>
          </m:radPr>
          <m:deg/>
          <m:e>
            <m:r>
              <m:rPr>
                <m:sty m:val="p"/>
              </m:rPr>
              <m:t>det</m:t>
            </m:r>
            <m:r>
              <m:t>g</m:t>
            </m:r>
          </m:e>
        </m:rad>
        <m:r>
          <m:rPr>
            <m:sty m:val="p"/>
          </m:rPr>
          <m:t>=</m:t>
        </m:r>
        <m:r>
          <m:t>k</m:t>
        </m:r>
        <m:r>
          <m:rPr>
            <m:sty m:val="p"/>
          </m:rPr>
          <m:t>∏</m:t>
        </m:r>
        <m:sSubSup>
          <m:e>
            <m:r>
              <m:t>θ</m:t>
            </m:r>
          </m:e>
          <m:sub>
            <m:r>
              <m:t>i</m:t>
            </m:r>
          </m:sub>
          <m:sup>
            <m:sSub>
              <m:e>
                <m:r>
                  <m:t>α</m:t>
                </m:r>
              </m:e>
              <m:sub>
                <m:r>
                  <m:t>i</m:t>
                </m:r>
              </m:sub>
            </m:sSub>
          </m:sup>
        </m:sSubSup>
      </m:oMath>
      <w:r>
        <w:t xml:space="preserve">—the multiplicative composition law</w:t>
      </w:r>
      <w:r>
        <w:t xml:space="preserve"> </w:t>
      </w:r>
      <w:hyperlink w:anchor="eq:mc">
        <w:r>
          <w:rPr>
            <w:rStyle w:val="Hyperlink"/>
          </w:rPr>
          <w:t xml:space="preserve">[eq:mc]</w:t>
        </w:r>
      </w:hyperlink>
      <w:r>
        <w:t xml:space="preserve"> </w:t>
      </w:r>
      <w:r>
        <w:t xml:space="preserve">exactly. The model is not ad hoc: it is the simplest nonlinear generalization of a linear signal model, and its parameters have a natural interpretation:</w:t>
      </w:r>
      <w:r>
        <w:t xml:space="preserve"> </w:t>
      </w:r>
      <m:oMath>
        <m:sSub>
          <m:e>
            <m:r>
              <m:t>α</m:t>
            </m:r>
          </m:e>
          <m:sub>
            <m:r>
              <m:t>i</m:t>
            </m:r>
          </m:sub>
        </m:sSub>
      </m:oMath>
      <w:r>
        <w:t xml:space="preserve"> </w:t>
      </w:r>
      <w:r>
        <w:t xml:space="preserve">is the elasticity of informational resolution with respect to the raw dimension value.</w:t>
      </w:r>
    </w:p>
    <w:p>
      <w:pPr>
        <w:pStyle w:val="BodyText"/>
      </w:pPr>
      <w:r>
        <w:rPr>
          <w:i/>
          <w:iCs/>
        </w:rPr>
        <w:t xml:space="preserve">Layer 3 (axiom recovery).</w:t>
      </w:r>
      <w:r>
        <w:t xml:space="preserve"> </w:t>
      </w:r>
      <w:r>
        <w:t xml:space="preserve">Under this statistical model, the five axioms of</w:t>
      </w:r>
      <w:r>
        <w:t xml:space="preserve"> </w:t>
      </w:r>
      <w:r>
        <w:t xml:space="preserve"> </w:t>
      </w:r>
      <w:r>
        <w:t xml:space="preserve">are not postulates but theorems. Separability follows from the product structure. Zero-collapse follows from the vanishing of Fisher information at</w:t>
      </w:r>
      <w:r>
        <w:t xml:space="preserve"> </w:t>
      </w:r>
      <m:oMath>
        <m:sSub>
          <m:e>
            <m:r>
              <m:t>θ</m:t>
            </m:r>
          </m:e>
          <m:sub>
            <m:r>
              <m:t>i</m:t>
            </m:r>
          </m:sub>
        </m:sSub>
        <m:r>
          <m:rPr>
            <m:sty m:val="p"/>
          </m:rPr>
          <m:t>=</m:t>
        </m:r>
        <m:r>
          <m:t>0</m:t>
        </m:r>
      </m:oMath>
      <w:r>
        <w:t xml:space="preserve"> </w:t>
      </w:r>
      <w:r>
        <w:t xml:space="preserve">(when</w:t>
      </w:r>
      <w:r>
        <w:t xml:space="preserve"> </w:t>
      </w:r>
      <m:oMath>
        <m:sSub>
          <m:e>
            <m:r>
              <m:t>q</m:t>
            </m:r>
          </m:e>
          <m:sub>
            <m:r>
              <m:t>i</m:t>
            </m:r>
          </m:sub>
        </m:sSub>
        <m:r>
          <m:rPr>
            <m:sty m:val="p"/>
          </m:rPr>
          <m:t>&gt;</m:t>
        </m:r>
        <m:r>
          <m:t>1</m:t>
        </m:r>
      </m:oMath>
      <w:r>
        <w:t xml:space="preserve">, the channel becomes uninformative). Monotonicity follows from increasing Fisher information. Homogeneity follows from the power-law structure. Continuity follows from the smoothness of the Fisher metric on the interior.</w:t>
      </w:r>
    </w:p>
    <w:bookmarkStart w:id="10" w:name="the-curvature-volume-duality"/>
    <w:p>
      <w:pPr>
        <w:pStyle w:val="Heading2"/>
      </w:pPr>
      <w:r>
        <w:t xml:space="preserve">The curvature-volume duality</w:t>
      </w:r>
    </w:p>
    <w:p>
      <w:pPr>
        <w:pStyle w:val="FirstParagraph"/>
      </w:pPr>
      <w:r>
        <w:t xml:space="preserve">A second contribution of this paper is the identification of a duality between two canonical geometric invariants on product manifolds. Scalar curvature is additive</w:t>
      </w:r>
      <w:r>
        <w:t xml:space="preserve"> </w:t>
      </w:r>
      <w:r>
        <w:t xml:space="preserve">:</w:t>
      </w:r>
    </w:p>
    <w:p>
      <w:pPr>
        <w:pStyle w:val="BodyText"/>
      </w:pPr>
      <m:oMathPara>
        <m:oMathParaPr>
          <m:jc m:val="center"/>
        </m:oMathParaPr>
        <m:oMath>
          <m:r>
            <m:t>R</m:t>
          </m:r>
          <m:r>
            <m:rPr>
              <m:sty m:val="p"/>
            </m:rPr>
            <m:t>(</m:t>
          </m:r>
          <m:sSub>
            <m:e>
              <m:r>
                <m:rPr>
                  <m:scr m:val="script"/>
                  <m:sty m:val="p"/>
                </m:rPr>
                <m:t>M</m:t>
              </m:r>
            </m:e>
            <m:sub>
              <m:r>
                <m:t>1</m:t>
              </m:r>
            </m:sub>
          </m:sSub>
          <m:r>
            <m:rPr>
              <m:sty m:val="p"/>
            </m:rPr>
            <m:t>×</m:t>
          </m:r>
          <m:sSub>
            <m:e>
              <m:r>
                <m:rPr>
                  <m:scr m:val="script"/>
                  <m:sty m:val="p"/>
                </m:rPr>
                <m:t>M</m:t>
              </m:r>
            </m:e>
            <m:sub>
              <m:r>
                <m:t>2</m:t>
              </m:r>
            </m:sub>
          </m:sSub>
          <m:r>
            <m:rPr>
              <m:sty m:val="p"/>
            </m:rPr>
            <m:t>)</m:t>
          </m:r>
          <m:r>
            <m:rPr>
              <m:sty m:val="p"/>
            </m:rPr>
            <m:t>=</m:t>
          </m:r>
          <m:r>
            <m:t>R</m:t>
          </m:r>
          <m:r>
            <m:rPr>
              <m:sty m:val="p"/>
            </m:rPr>
            <m:t>(</m:t>
          </m:r>
          <m:sSub>
            <m:e>
              <m:r>
                <m:rPr>
                  <m:scr m:val="script"/>
                  <m:sty m:val="p"/>
                </m:rPr>
                <m:t>M</m:t>
              </m:r>
            </m:e>
            <m:sub>
              <m:r>
                <m:t>1</m:t>
              </m:r>
            </m:sub>
          </m:sSub>
          <m:r>
            <m:rPr>
              <m:sty m:val="p"/>
            </m:rPr>
            <m:t>)</m:t>
          </m:r>
          <m:r>
            <m:rPr>
              <m:sty m:val="p"/>
            </m:rPr>
            <m:t>+</m:t>
          </m:r>
          <m:r>
            <m:t>R</m:t>
          </m:r>
          <m:r>
            <m:rPr>
              <m:sty m:val="p"/>
            </m:rPr>
            <m:t>(</m:t>
          </m:r>
          <m:sSub>
            <m:e>
              <m:r>
                <m:rPr>
                  <m:scr m:val="script"/>
                  <m:sty m:val="p"/>
                </m:rPr>
                <m:t>M</m:t>
              </m:r>
            </m:e>
            <m:sub>
              <m:r>
                <m:t>2</m:t>
              </m:r>
            </m:sub>
          </m:sSub>
          <m:r>
            <m:rPr>
              <m:sty m:val="p"/>
            </m:rPr>
            <m:t>)</m:t>
          </m:r>
          <m:r>
            <m:rPr>
              <m:sty m:val="p"/>
            </m:rPr>
            <m:t>.</m:t>
          </m:r>
        </m:oMath>
      </m:oMathPara>
    </w:p>
    <w:p>
      <w:pPr>
        <w:pStyle w:val="FirstParagraph"/>
      </w:pPr>
      <w:r>
        <w:t xml:space="preserve">Volume density is multiplicative:</w:t>
      </w:r>
    </w:p>
    <w:p>
      <w:pPr>
        <w:pStyle w:val="BodyText"/>
      </w:pPr>
      <m:oMathPara>
        <m:oMathParaPr>
          <m:jc m:val="center"/>
        </m:oMathParaPr>
        <m:oMath>
          <m:rad>
            <m:radPr>
              <m:degHide m:val="on"/>
            </m:radPr>
            <m:deg/>
            <m:e>
              <m:r>
                <m:rPr>
                  <m:sty m:val="p"/>
                </m:rPr>
                <m:t>det</m:t>
              </m:r>
              <m:r>
                <m:t>g</m:t>
              </m:r>
              <m:r>
                <m:rPr>
                  <m:sty m:val="p"/>
                </m:rPr>
                <m:t>(</m:t>
              </m:r>
              <m:sSub>
                <m:e>
                  <m:r>
                    <m:rPr>
                      <m:scr m:val="script"/>
                      <m:sty m:val="p"/>
                    </m:rPr>
                    <m:t>M</m:t>
                  </m:r>
                </m:e>
                <m:sub>
                  <m:r>
                    <m:t>1</m:t>
                  </m:r>
                </m:sub>
              </m:sSub>
              <m:r>
                <m:rPr>
                  <m:sty m:val="p"/>
                </m:rPr>
                <m:t>×</m:t>
              </m:r>
              <m:sSub>
                <m:e>
                  <m:r>
                    <m:rPr>
                      <m:scr m:val="script"/>
                      <m:sty m:val="p"/>
                    </m:rPr>
                    <m:t>M</m:t>
                  </m:r>
                </m:e>
                <m:sub>
                  <m:r>
                    <m:t>2</m:t>
                  </m:r>
                </m:sub>
              </m:sSub>
              <m:r>
                <m:rPr>
                  <m:sty m:val="p"/>
                </m:rPr>
                <m:t>)</m:t>
              </m:r>
            </m:e>
          </m:rad>
          <m:r>
            <m:rPr>
              <m:sty m:val="p"/>
            </m:rPr>
            <m:t>=</m:t>
          </m:r>
          <m:rad>
            <m:radPr>
              <m:degHide m:val="on"/>
            </m:radPr>
            <m:deg/>
            <m:e>
              <m:r>
                <m:rPr>
                  <m:sty m:val="p"/>
                </m:rPr>
                <m:t>det</m:t>
              </m:r>
              <m:r>
                <m:t>g</m:t>
              </m:r>
              <m:r>
                <m:rPr>
                  <m:sty m:val="p"/>
                </m:rPr>
                <m:t>(</m:t>
              </m:r>
              <m:sSub>
                <m:e>
                  <m:r>
                    <m:rPr>
                      <m:scr m:val="script"/>
                      <m:sty m:val="p"/>
                    </m:rPr>
                    <m:t>M</m:t>
                  </m:r>
                </m:e>
                <m:sub>
                  <m:r>
                    <m:t>1</m:t>
                  </m:r>
                </m:sub>
              </m:sSub>
              <m:r>
                <m:rPr>
                  <m:sty m:val="p"/>
                </m:rPr>
                <m:t>)</m:t>
              </m:r>
            </m:e>
          </m:rad>
          <m:r>
            <m:rPr>
              <m:sty m:val="p"/>
            </m:rPr>
            <m:t>⋅</m:t>
          </m:r>
          <m:rad>
            <m:radPr>
              <m:degHide m:val="on"/>
            </m:radPr>
            <m:deg/>
            <m:e>
              <m:r>
                <m:rPr>
                  <m:sty m:val="p"/>
                </m:rPr>
                <m:t>det</m:t>
              </m:r>
              <m:r>
                <m:t>g</m:t>
              </m:r>
              <m:r>
                <m:rPr>
                  <m:sty m:val="p"/>
                </m:rPr>
                <m:t>(</m:t>
              </m:r>
              <m:sSub>
                <m:e>
                  <m:r>
                    <m:rPr>
                      <m:scr m:val="script"/>
                      <m:sty m:val="p"/>
                    </m:rPr>
                    <m:t>M</m:t>
                  </m:r>
                </m:e>
                <m:sub>
                  <m:r>
                    <m:t>2</m:t>
                  </m:r>
                </m:sub>
              </m:sSub>
              <m:r>
                <m:rPr>
                  <m:sty m:val="p"/>
                </m:rPr>
                <m:t>)</m:t>
              </m:r>
            </m:e>
          </m:rad>
          <m:r>
            <m:rPr>
              <m:sty m:val="p"/>
            </m:rPr>
            <m:t>.</m:t>
          </m:r>
        </m:oMath>
      </m:oMathPara>
    </w:p>
    <w:p>
      <w:pPr>
        <w:pStyle w:val="FirstParagraph"/>
      </w:pPr>
      <w:r>
        <w:t xml:space="preserve">Both are legitimate invariants on the same manifold. This duality gives geometric content to the scope condition of</w:t>
      </w:r>
      <w:r>
        <w:t xml:space="preserve"> </w:t>
      </w:r>
      <w:r>
        <w:t xml:space="preserve">: substitutable dimensions—those where more of one compensates for less of another—compose through curvature (additive structure). Non-substitutable dimensions—those where zero of any one annihilates the output—compose through volume (multiplicative structure). The same product manifold supports both. The physical question is which invariant captures the relevant quantity.</w:t>
      </w:r>
    </w:p>
    <w:bookmarkEnd w:id="10"/>
    <w:bookmarkStart w:id="11" w:name="organization"/>
    <w:p>
      <w:pPr>
        <w:pStyle w:val="Heading2"/>
      </w:pPr>
      <w:r>
        <w:t xml:space="preserve">Organization</w:t>
      </w:r>
    </w:p>
    <w:p>
      <w:pPr>
        <w:pStyle w:val="FirstParagraph"/>
      </w:pPr>
      <w:r>
        <w:t xml:space="preserve">Section </w:t>
      </w:r>
      <w:hyperlink w:anchor="sec:geometry">
        <w:r>
          <w:rPr>
            <w:rStyle w:val="Hyperlink"/>
          </w:rPr>
          <w:t xml:space="preserve">2</w:t>
        </w:r>
      </w:hyperlink>
      <w:r>
        <w:t xml:space="preserve"> </w:t>
      </w:r>
      <w:r>
        <w:t xml:space="preserve">reviews the relevant information geometry. Section </w:t>
      </w:r>
      <w:hyperlink w:anchor="sec:factorization">
        <w:r>
          <w:rPr>
            <w:rStyle w:val="Hyperlink"/>
          </w:rPr>
          <w:t xml:space="preserve">3</w:t>
        </w:r>
      </w:hyperlink>
      <w:r>
        <w:t xml:space="preserve"> </w:t>
      </w:r>
      <w:r>
        <w:t xml:space="preserve">states and proves the volume factorization theorem. Section </w:t>
      </w:r>
      <w:hyperlink w:anchor="sec:model">
        <w:r>
          <w:rPr>
            <w:rStyle w:val="Hyperlink"/>
          </w:rPr>
          <w:t xml:space="preserve">4</w:t>
        </w:r>
      </w:hyperlink>
      <w:r>
        <w:t xml:space="preserve"> </w:t>
      </w:r>
      <w:r>
        <w:t xml:space="preserve">constructs the power-law response channel model. Section </w:t>
      </w:r>
      <w:hyperlink w:anchor="sec:axioms">
        <w:r>
          <w:rPr>
            <w:rStyle w:val="Hyperlink"/>
          </w:rPr>
          <w:t xml:space="preserve">5</w:t>
        </w:r>
      </w:hyperlink>
      <w:r>
        <w:t xml:space="preserve"> </w:t>
      </w:r>
      <w:r>
        <w:t xml:space="preserve">recovers the five axioms as geometric consequences. Section </w:t>
      </w:r>
      <w:hyperlink w:anchor="sec:duality">
        <w:r>
          <w:rPr>
            <w:rStyle w:val="Hyperlink"/>
          </w:rPr>
          <w:t xml:space="preserve">6</w:t>
        </w:r>
      </w:hyperlink>
      <w:r>
        <w:t xml:space="preserve"> </w:t>
      </w:r>
      <w:r>
        <w:t xml:space="preserve">develops the curvature-volume duality. Section </w:t>
      </w:r>
      <w:hyperlink w:anchor="sec:discussion">
        <w:r>
          <w:rPr>
            <w:rStyle w:val="Hyperlink"/>
          </w:rPr>
          <w:t xml:space="preserve">7</w:t>
        </w:r>
      </w:hyperlink>
      <w:r>
        <w:t xml:space="preserve"> </w:t>
      </w:r>
      <w:r>
        <w:t xml:space="preserve">discusses limitations and the layered structure of the result. Section </w:t>
      </w:r>
      <w:hyperlink w:anchor="sec:conclusion">
        <w:r>
          <w:rPr>
            <w:rStyle w:val="Hyperlink"/>
          </w:rPr>
          <w:t xml:space="preserve">8</w:t>
        </w:r>
      </w:hyperlink>
      <w:r>
        <w:t xml:space="preserve"> </w:t>
      </w:r>
      <w:r>
        <w:t xml:space="preserve">concludes.</w:t>
      </w:r>
    </w:p>
    <w:bookmarkEnd w:id="11"/>
    <w:bookmarkEnd w:id="12"/>
    <w:bookmarkStart w:id="17" w:name="sec:geometry"/>
    <w:p>
      <w:pPr>
        <w:pStyle w:val="Heading1"/>
      </w:pPr>
      <w:r>
        <w:t xml:space="preserve">Statistical Manifolds and the Fisher-Rao Metric</w:t>
      </w:r>
    </w:p>
    <w:bookmarkStart w:id="13" w:name="statistical-manifolds"/>
    <w:p>
      <w:pPr>
        <w:pStyle w:val="Heading2"/>
      </w:pPr>
      <w:r>
        <w:t xml:space="preserve">Statistical manifolds</w:t>
      </w:r>
    </w:p>
    <w:p>
      <w:pPr>
        <w:pStyle w:val="FirstParagraph"/>
      </w:pPr>
      <w:r>
        <w:t xml:space="preserve">A</w:t>
      </w:r>
      <w:r>
        <w:t xml:space="preserve"> </w:t>
      </w:r>
      <w:r>
        <w:rPr>
          <w:i/>
          <w:iCs/>
        </w:rPr>
        <w:t xml:space="preserve">statistical manifold</w:t>
      </w:r>
      <w:r>
        <w:t xml:space="preserve"> </w:t>
      </w:r>
      <w:r>
        <w:t xml:space="preserve">is a smooth manifold</w:t>
      </w:r>
      <w:r>
        <w:t xml:space="preserve"> </w:t>
      </w:r>
      <m:oMath>
        <m:r>
          <m:rPr>
            <m:scr m:val="script"/>
            <m:sty m:val="p"/>
          </m:rPr>
          <m:t>M</m:t>
        </m:r>
      </m:oMath>
      <w:r>
        <w:t xml:space="preserve"> </w:t>
      </w:r>
      <w:r>
        <w:t xml:space="preserve">whose points are probability distributions. Let</w:t>
      </w:r>
      <w:r>
        <w:t xml:space="preserve"> </w:t>
      </w:r>
      <m:oMath>
        <m:r>
          <m:rPr>
            <m:sty m:val="p"/>
          </m:rPr>
          <m:t>{</m:t>
        </m:r>
        <m:r>
          <m:t>p</m:t>
        </m:r>
        <m:r>
          <m:rPr>
            <m:sty m:val="p"/>
          </m:rPr>
          <m:t>(</m:t>
        </m:r>
        <m:r>
          <m:t>x</m:t>
        </m:r>
        <m:r>
          <m:rPr>
            <m:sty m:val="p"/>
          </m:rPr>
          <m:t>∣</m:t>
        </m:r>
        <m:r>
          <m:t>θ</m:t>
        </m:r>
        <m:r>
          <m:rPr>
            <m:sty m:val="p"/>
          </m:rPr>
          <m:t>)</m:t>
        </m:r>
        <m:r>
          <m:rPr>
            <m:sty m:val="p"/>
          </m:rPr>
          <m:t>:</m:t>
        </m:r>
        <m:r>
          <m:t>θ</m:t>
        </m:r>
        <m:r>
          <m:rPr>
            <m:sty m:val="p"/>
          </m:rPr>
          <m:t>∈</m:t>
        </m:r>
        <m:r>
          <m:rPr>
            <m:sty m:val="p"/>
          </m:rPr>
          <m:t>Θ</m:t>
        </m:r>
        <m:r>
          <m:rPr>
            <m:sty m:val="p"/>
          </m:rPr>
          <m:t>⊆</m:t>
        </m:r>
        <m:sSup>
          <m:e>
            <m:r>
              <m:rPr>
                <m:scr m:val="double-struck"/>
                <m:sty m:val="p"/>
              </m:rPr>
              <m:t>R</m:t>
            </m:r>
          </m:e>
          <m:sup>
            <m:r>
              <m:t>N</m:t>
            </m:r>
          </m:sup>
        </m:sSup>
        <m:r>
          <m:rPr>
            <m:sty m:val="p"/>
          </m:rPr>
          <m:t>}</m:t>
        </m:r>
      </m:oMath>
      <w:r>
        <w:t xml:space="preserve"> </w:t>
      </w:r>
      <w:r>
        <w:t xml:space="preserve">be a parametric family of distributions on a sample space</w:t>
      </w:r>
      <w:r>
        <w:t xml:space="preserve"> </w:t>
      </w:r>
      <m:oMath>
        <m:r>
          <m:rPr>
            <m:scr m:val="script"/>
            <m:sty m:val="p"/>
          </m:rPr>
          <m:t>X</m:t>
        </m:r>
      </m:oMath>
      <w:r>
        <w:t xml:space="preserve">, with</w:t>
      </w:r>
      <w:r>
        <w:t xml:space="preserve"> </w:t>
      </w:r>
      <m:oMath>
        <m:r>
          <m:t>θ</m:t>
        </m:r>
        <m:r>
          <m:rPr>
            <m:sty m:val="p"/>
          </m:rPr>
          <m:t>=</m:t>
        </m:r>
        <m:r>
          <m:rPr>
            <m:sty m:val="p"/>
          </m:rPr>
          <m:t>(</m:t>
        </m:r>
        <m:sSub>
          <m:e>
            <m:r>
              <m:t>θ</m:t>
            </m:r>
          </m:e>
          <m:sub>
            <m:r>
              <m:t>1</m:t>
            </m:r>
          </m:sub>
        </m:sSub>
        <m:r>
          <m:rPr>
            <m:sty m:val="p"/>
          </m:rPr>
          <m:t>,</m:t>
        </m:r>
        <m:r>
          <m:rPr>
            <m:sty m:val="p"/>
          </m:rPr>
          <m:t>…</m:t>
        </m:r>
        <m:r>
          <m:rPr>
            <m:sty m:val="p"/>
          </m:rPr>
          <m:t>,</m:t>
        </m:r>
        <m:sSub>
          <m:e>
            <m:r>
              <m:t>θ</m:t>
            </m:r>
          </m:e>
          <m:sub>
            <m:r>
              <m:t>N</m:t>
            </m:r>
          </m:sub>
        </m:sSub>
        <m:r>
          <m:rPr>
            <m:sty m:val="p"/>
          </m:rPr>
          <m:t>)</m:t>
        </m:r>
      </m:oMath>
      <w:r>
        <w:t xml:space="preserve"> </w:t>
      </w:r>
      <w:r>
        <w:t xml:space="preserve">serving as coordinates. The parameter space</w:t>
      </w:r>
      <w:r>
        <w:t xml:space="preserve"> </w:t>
      </w:r>
      <m:oMath>
        <m:r>
          <m:rPr>
            <m:sty m:val="p"/>
          </m:rPr>
          <m:t>Θ</m:t>
        </m:r>
      </m:oMath>
      <w:r>
        <w:t xml:space="preserve"> </w:t>
      </w:r>
      <w:r>
        <w:t xml:space="preserve">inherits a Riemannian structure from the family of distributions via the Fisher-Rao metric.</w:t>
      </w:r>
    </w:p>
    <w:bookmarkEnd w:id="13"/>
    <w:bookmarkStart w:id="14" w:name="the-fisher-rao-metric"/>
    <w:p>
      <w:pPr>
        <w:pStyle w:val="Heading2"/>
      </w:pPr>
      <w:r>
        <w:t xml:space="preserve">The Fisher-Rao metric</w:t>
      </w:r>
    </w:p>
    <w:p>
      <w:pPr>
        <w:pStyle w:val="FirstParagraph"/>
      </w:pPr>
      <w:r>
        <w:rPr>
          <w:b/>
          <w:bCs/>
        </w:rPr>
        <w:t xml:space="preserve">Definition 1</w:t>
      </w:r>
      <w:r>
        <w:t xml:space="preserve"> </w:t>
      </w:r>
      <w:r>
        <w:t xml:space="preserve">(Fisher information matrix).</w:t>
      </w:r>
      <w:r>
        <w:t xml:space="preserve"> </w:t>
      </w:r>
      <w:r>
        <w:t xml:space="preserve"> </w:t>
      </w:r>
      <w:r>
        <w:t xml:space="preserve">The Fisher information matrix at</w:t>
      </w:r>
      <w:r>
        <w:t xml:space="preserve"> </w:t>
      </w:r>
      <m:oMath>
        <m:r>
          <m:t>θ</m:t>
        </m:r>
      </m:oMath>
      <w:r>
        <w:t xml:space="preserve"> </w:t>
      </w:r>
      <w:r>
        <w:t xml:space="preserve">is the</w:t>
      </w:r>
      <w:r>
        <w:t xml:space="preserve"> </w:t>
      </w:r>
      <m:oMath>
        <m:r>
          <m:t>N</m:t>
        </m:r>
        <m:r>
          <m:rPr>
            <m:sty m:val="p"/>
          </m:rPr>
          <m:t>×</m:t>
        </m:r>
        <m:r>
          <m:t>N</m:t>
        </m:r>
      </m:oMath>
      <w:r>
        <w:t xml:space="preserve"> </w:t>
      </w:r>
      <w:r>
        <w:t xml:space="preserve">matrix with entries</w:t>
      </w:r>
    </w:p>
    <w:p>
      <w:pPr>
        <w:pStyle w:val="BodyText"/>
      </w:pPr>
      <m:oMathPara>
        <m:oMathParaPr>
          <m:jc m:val="center"/>
        </m:oMathParaPr>
        <m:oMath>
          <m:sSub>
            <m:e>
              <m:r>
                <m:t>g</m:t>
              </m:r>
            </m:e>
            <m:sub>
              <m:r>
                <m:t>i</m:t>
              </m:r>
              <m:r>
                <m:t>j</m:t>
              </m:r>
            </m:sub>
          </m:sSub>
          <m:r>
            <m:rPr>
              <m:sty m:val="p"/>
            </m:rPr>
            <m:t>(</m:t>
          </m:r>
          <m:r>
            <m:t>θ</m:t>
          </m:r>
          <m:r>
            <m:rPr>
              <m:sty m:val="p"/>
            </m:rPr>
            <m:t>)</m:t>
          </m:r>
          <m:r>
            <m:rPr>
              <m:sty m:val="p"/>
            </m:rPr>
            <m:t>=</m:t>
          </m:r>
          <m:sSub>
            <m:e>
              <m:r>
                <m:rPr>
                  <m:sty m:val="p"/>
                </m:rPr>
                <m:t>E</m:t>
              </m:r>
            </m:e>
            <m:sub>
              <m:r>
                <m:t>θ</m:t>
              </m:r>
            </m:sub>
          </m:sSub>
          <m:r>
            <m:t>​</m:t>
          </m:r>
          <m:d>
            <m:dPr>
              <m:begChr m:val="["/>
              <m:sepChr m:val=""/>
              <m:endChr m:val="]"/>
              <m:grow/>
            </m:dPr>
            <m:e>
              <m:f>
                <m:fPr>
                  <m:type m:val="bar"/>
                </m:fPr>
                <m:num>
                  <m:r>
                    <m:rPr>
                      <m:sty m:val="p"/>
                    </m:rPr>
                    <m:t>∂</m:t>
                  </m:r>
                  <m:r>
                    <m:rPr>
                      <m:sty m:val="p"/>
                    </m:rPr>
                    <m:t>log</m:t>
                  </m:r>
                  <m:r>
                    <m:t>p</m:t>
                  </m:r>
                  <m:r>
                    <m:rPr>
                      <m:sty m:val="p"/>
                    </m:rPr>
                    <m:t>(</m:t>
                  </m:r>
                  <m:r>
                    <m:t>X</m:t>
                  </m:r>
                  <m:r>
                    <m:rPr>
                      <m:sty m:val="p"/>
                    </m:rPr>
                    <m:t>∣</m:t>
                  </m:r>
                  <m:r>
                    <m:t>θ</m:t>
                  </m:r>
                  <m:r>
                    <m:rPr>
                      <m:sty m:val="p"/>
                    </m:rPr>
                    <m:t>)</m:t>
                  </m:r>
                </m:num>
                <m:den>
                  <m:r>
                    <m:rPr>
                      <m:sty m:val="p"/>
                    </m:rPr>
                    <m:t>∂</m:t>
                  </m:r>
                  <m:sSub>
                    <m:e>
                      <m:r>
                        <m:t>θ</m:t>
                      </m:r>
                    </m:e>
                    <m:sub>
                      <m:r>
                        <m:t>i</m:t>
                      </m:r>
                    </m:sub>
                  </m:sSub>
                </m:den>
              </m:f>
              <m:r>
                <m:rPr>
                  <m:sty m:val="p"/>
                </m:rPr>
                <m:t>⋅</m:t>
              </m:r>
              <m:f>
                <m:fPr>
                  <m:type m:val="bar"/>
                </m:fPr>
                <m:num>
                  <m:r>
                    <m:rPr>
                      <m:sty m:val="p"/>
                    </m:rPr>
                    <m:t>∂</m:t>
                  </m:r>
                  <m:r>
                    <m:rPr>
                      <m:sty m:val="p"/>
                    </m:rPr>
                    <m:t>log</m:t>
                  </m:r>
                  <m:r>
                    <m:t>p</m:t>
                  </m:r>
                  <m:r>
                    <m:rPr>
                      <m:sty m:val="p"/>
                    </m:rPr>
                    <m:t>(</m:t>
                  </m:r>
                  <m:r>
                    <m:t>X</m:t>
                  </m:r>
                  <m:r>
                    <m:rPr>
                      <m:sty m:val="p"/>
                    </m:rPr>
                    <m:t>∣</m:t>
                  </m:r>
                  <m:r>
                    <m:t>θ</m:t>
                  </m:r>
                  <m:r>
                    <m:rPr>
                      <m:sty m:val="p"/>
                    </m:rPr>
                    <m:t>)</m:t>
                  </m:r>
                </m:num>
                <m:den>
                  <m:r>
                    <m:rPr>
                      <m:sty m:val="p"/>
                    </m:rPr>
                    <m:t>∂</m:t>
                  </m:r>
                  <m:sSub>
                    <m:e>
                      <m:r>
                        <m:t>θ</m:t>
                      </m:r>
                    </m:e>
                    <m:sub>
                      <m:r>
                        <m:t>j</m:t>
                      </m:r>
                    </m:sub>
                  </m:sSub>
                </m:den>
              </m:f>
            </m:e>
          </m:d>
          <m:r>
            <m:rPr>
              <m:sty m:val="p"/>
            </m:rPr>
            <m:t>.</m:t>
          </m:r>
        </m:oMath>
      </m:oMathPara>
    </w:p>
    <w:p>
      <w:pPr>
        <w:pStyle w:val="FirstParagraph"/>
      </w:pPr>
      <w:r>
        <w:t xml:space="preserve">Under standard regularity conditions, this equals</w:t>
      </w:r>
      <w:r>
        <w:t xml:space="preserve"> </w:t>
      </w:r>
      <m:oMath>
        <m:r>
          <m:rPr>
            <m:sty m:val="p"/>
          </m:rPr>
          <m:t>−</m:t>
        </m:r>
        <m:sSub>
          <m:e>
            <m:r>
              <m:rPr>
                <m:sty m:val="p"/>
              </m:rPr>
              <m:t>E</m:t>
            </m:r>
          </m:e>
          <m:sub>
            <m:r>
              <m:t>θ</m:t>
            </m:r>
          </m:sub>
        </m:sSub>
        <m:r>
          <m:rPr>
            <m:sty m:val="p"/>
          </m:rPr>
          <m:t>[</m:t>
        </m:r>
        <m:sSup>
          <m:e>
            <m:r>
              <m:rPr>
                <m:sty m:val="p"/>
              </m:rPr>
              <m:t>∂</m:t>
            </m:r>
          </m:e>
          <m:sup>
            <m:r>
              <m:t>2</m:t>
            </m:r>
          </m:sup>
        </m:sSup>
        <m:r>
          <m:rPr>
            <m:sty m:val="p"/>
          </m:rPr>
          <m:t>log</m:t>
        </m:r>
        <m:r>
          <m:t>p</m:t>
        </m:r>
        <m:r>
          <m:rPr>
            <m:sty m:val="p"/>
          </m:rPr>
          <m:t>/</m:t>
        </m:r>
        <m:r>
          <m:rPr>
            <m:sty m:val="p"/>
          </m:rPr>
          <m:t>∂</m:t>
        </m:r>
        <m:sSub>
          <m:e>
            <m:r>
              <m:t>θ</m:t>
            </m:r>
          </m:e>
          <m:sub>
            <m:r>
              <m:t>i</m:t>
            </m:r>
          </m:sub>
        </m:sSub>
        <m:r>
          <m:rPr>
            <m:sty m:val="p"/>
          </m:rPr>
          <m:t>∂</m:t>
        </m:r>
        <m:sSub>
          <m:e>
            <m:r>
              <m:t>θ</m:t>
            </m:r>
          </m:e>
          <m:sub>
            <m:r>
              <m:t>j</m:t>
            </m:r>
          </m:sub>
        </m:sSub>
        <m:r>
          <m:rPr>
            <m:sty m:val="p"/>
          </m:rPr>
          <m:t>]</m:t>
        </m:r>
      </m:oMath>
      <w:r>
        <w:t xml:space="preserve">.</w:t>
      </w:r>
    </w:p>
    <w:p>
      <w:pPr>
        <w:pStyle w:val="BodyText"/>
      </w:pPr>
      <w:r>
        <w:t xml:space="preserve">The Fisher-Rao metric</w:t>
      </w:r>
      <w:r>
        <w:t xml:space="preserve"> </w:t>
      </w:r>
      <m:oMath>
        <m:r>
          <m:t>d</m:t>
        </m:r>
        <m:sSup>
          <m:e>
            <m:r>
              <m:t>s</m:t>
            </m:r>
          </m:e>
          <m:sup>
            <m:r>
              <m:t>2</m:t>
            </m:r>
          </m:sup>
        </m:sSup>
        <m:r>
          <m:rPr>
            <m:sty m:val="p"/>
          </m:rPr>
          <m:t>=</m:t>
        </m:r>
        <m:nary>
          <m:naryPr>
            <m:chr m:val="∑"/>
            <m:limLoc m:val="undOvr"/>
            <m:subHide m:val="off"/>
            <m:supHide m:val="on"/>
          </m:naryPr>
          <m:sub>
            <m:r>
              <m:t>i</m:t>
            </m:r>
            <m:r>
              <m:rPr>
                <m:sty m:val="p"/>
              </m:rPr>
              <m:t>,</m:t>
            </m:r>
            <m:r>
              <m:t>j</m:t>
            </m:r>
          </m:sub>
          <m:sup>
            <m:r>
              <m:t>​</m:t>
            </m:r>
          </m:sup>
          <m:e>
            <m:sSub>
              <m:e>
                <m:r>
                  <m:t>g</m:t>
                </m:r>
              </m:e>
              <m:sub>
                <m:r>
                  <m:t>i</m:t>
                </m:r>
                <m:r>
                  <m:t>j</m:t>
                </m:r>
              </m:sub>
            </m:sSub>
          </m:e>
        </m:nary>
        <m:r>
          <m:rPr>
            <m:sty m:val="p"/>
          </m:rPr>
          <m:t>(</m:t>
        </m:r>
        <m:r>
          <m:t>θ</m:t>
        </m:r>
        <m:r>
          <m:rPr>
            <m:sty m:val="p"/>
          </m:rPr>
          <m:t>)</m:t>
        </m:r>
        <m:r>
          <m:t> </m:t>
        </m:r>
        <m:r>
          <m:t>d</m:t>
        </m:r>
        <m:sSub>
          <m:e>
            <m:r>
              <m:t>θ</m:t>
            </m:r>
          </m:e>
          <m:sub>
            <m:r>
              <m:t>i</m:t>
            </m:r>
          </m:sub>
        </m:sSub>
        <m:r>
          <m:t> </m:t>
        </m:r>
        <m:r>
          <m:t>d</m:t>
        </m:r>
        <m:sSub>
          <m:e>
            <m:r>
              <m:t>θ</m:t>
            </m:r>
          </m:e>
          <m:sub>
            <m:r>
              <m:t>j</m:t>
            </m:r>
          </m:sub>
        </m:sSub>
      </m:oMath>
      <w:r>
        <w:t xml:space="preserve"> </w:t>
      </w:r>
      <w:r>
        <w:t xml:space="preserve">equips</w:t>
      </w:r>
      <w:r>
        <w:t xml:space="preserve"> </w:t>
      </w:r>
      <m:oMath>
        <m:r>
          <m:rPr>
            <m:sty m:val="p"/>
          </m:rPr>
          <m:t>Θ</m:t>
        </m:r>
      </m:oMath>
      <w:r>
        <w:t xml:space="preserve"> </w:t>
      </w:r>
      <w:r>
        <w:t xml:space="preserve">with a Riemannian structure. By Chentsov’s theorem</w:t>
      </w:r>
      <w:r>
        <w:t xml:space="preserve"> </w:t>
      </w:r>
      <w:r>
        <w:t xml:space="preserve">, it is the unique Riemannian metric (up to scale) invariant under sufficient statistics—a foundational result in information geometry</w:t>
      </w:r>
      <w:r>
        <w:t xml:space="preserve"> </w:t>
      </w:r>
      <w:r>
        <w:t xml:space="preserve">.</w:t>
      </w:r>
    </w:p>
    <w:bookmarkEnd w:id="14"/>
    <w:bookmarkStart w:id="15" w:name="the-riemannian-volume-element"/>
    <w:p>
      <w:pPr>
        <w:pStyle w:val="Heading2"/>
      </w:pPr>
      <w:r>
        <w:t xml:space="preserve">The Riemannian volume element</w:t>
      </w:r>
    </w:p>
    <w:p>
      <w:pPr>
        <w:pStyle w:val="FirstParagraph"/>
      </w:pPr>
      <w:r>
        <w:t xml:space="preserve">The Riemannian volume element on</w:t>
      </w:r>
      <w:r>
        <w:t xml:space="preserve"> </w:t>
      </w:r>
      <m:oMath>
        <m:r>
          <m:rPr>
            <m:sty m:val="p"/>
          </m:rPr>
          <m:t>(</m:t>
        </m:r>
        <m:r>
          <m:rPr>
            <m:sty m:val="p"/>
          </m:rPr>
          <m:t>Θ</m:t>
        </m:r>
        <m:r>
          <m:rPr>
            <m:sty m:val="p"/>
          </m:rPr>
          <m:t>,</m:t>
        </m:r>
        <m:r>
          <m:t>g</m:t>
        </m:r>
        <m:r>
          <m:rPr>
            <m:sty m:val="p"/>
          </m:rPr>
          <m:t>)</m:t>
        </m:r>
      </m:oMath>
      <w:r>
        <w:t xml:space="preserve"> </w:t>
      </w:r>
      <w:r>
        <w:t xml:space="preserve">is</w:t>
      </w:r>
    </w:p>
    <w:p>
      <w:pPr>
        <w:pStyle w:val="BodyText"/>
      </w:pPr>
      <m:oMathPara>
        <m:oMathParaPr>
          <m:jc m:val="center"/>
        </m:oMathParaPr>
        <m:oMath>
          <m:r>
            <m:t>d</m:t>
          </m:r>
          <m:r>
            <m:rPr>
              <m:scr m:val="script"/>
              <m:sty m:val="p"/>
            </m:rPr>
            <m:t>V</m:t>
          </m:r>
          <m:r>
            <m:rPr>
              <m:sty m:val="p"/>
            </m:rPr>
            <m:t>=</m:t>
          </m:r>
          <m:rad>
            <m:radPr>
              <m:degHide m:val="on"/>
            </m:radPr>
            <m:deg/>
            <m:e>
              <m:r>
                <m:rPr>
                  <m:sty m:val="p"/>
                </m:rPr>
                <m:t>det</m:t>
              </m:r>
              <m:r>
                <m:t>g</m:t>
              </m:r>
              <m:r>
                <m:rPr>
                  <m:sty m:val="p"/>
                </m:rPr>
                <m:t>(</m:t>
              </m:r>
              <m:r>
                <m:t>θ</m:t>
              </m:r>
              <m:r>
                <m:rPr>
                  <m:sty m:val="p"/>
                </m:rPr>
                <m:t>)</m:t>
              </m:r>
            </m:e>
          </m:rad>
          <m:r>
            <m:t> </m:t>
          </m:r>
          <m:r>
            <m:t>d</m:t>
          </m:r>
          <m:sSub>
            <m:e>
              <m:r>
                <m:t>θ</m:t>
              </m:r>
            </m:e>
            <m:sub>
              <m:r>
                <m:t>1</m:t>
              </m:r>
            </m:sub>
          </m:sSub>
          <m:r>
            <m:rPr>
              <m:sty m:val="p"/>
            </m:rPr>
            <m:t>∧</m:t>
          </m:r>
          <m:r>
            <m:rPr>
              <m:sty m:val="p"/>
            </m:rPr>
            <m:t>⋯</m:t>
          </m:r>
          <m:r>
            <m:rPr>
              <m:sty m:val="p"/>
            </m:rPr>
            <m:t>∧</m:t>
          </m:r>
          <m:r>
            <m:t>d</m:t>
          </m:r>
          <m:sSub>
            <m:e>
              <m:r>
                <m:t>θ</m:t>
              </m:r>
            </m:e>
            <m:sub>
              <m:r>
                <m:t>N</m:t>
              </m:r>
            </m:sub>
          </m:sSub>
          <m:r>
            <m:rPr>
              <m:sty m:val="p"/>
            </m:rPr>
            <m:t>.</m:t>
          </m:r>
        </m:oMath>
      </m:oMathPara>
    </w:p>
    <w:p>
      <w:pPr>
        <w:pStyle w:val="FirstParagraph"/>
      </w:pPr>
      <w:r>
        <w:t xml:space="preserve">The density</w:t>
      </w:r>
      <w:r>
        <w:t xml:space="preserve"> </w:t>
      </w:r>
      <m:oMath>
        <m:rad>
          <m:radPr>
            <m:degHide m:val="on"/>
          </m:radPr>
          <m:deg/>
          <m:e>
            <m:r>
              <m:rPr>
                <m:sty m:val="p"/>
              </m:rPr>
              <m:t>det</m:t>
            </m:r>
            <m:r>
              <m:t>g</m:t>
            </m:r>
            <m:r>
              <m:rPr>
                <m:sty m:val="p"/>
              </m:rPr>
              <m:t>(</m:t>
            </m:r>
            <m:r>
              <m:t>θ</m:t>
            </m:r>
            <m:r>
              <m:rPr>
                <m:sty m:val="p"/>
              </m:rPr>
              <m:t>)</m:t>
            </m:r>
          </m:e>
        </m:rad>
      </m:oMath>
      <w:r>
        <w:t xml:space="preserve"> </w:t>
      </w:r>
      <w:r>
        <w:t xml:space="preserve">is the natural measure of</w:t>
      </w:r>
      <w:r>
        <w:t xml:space="preserve"> </w:t>
      </w:r>
      <w:r>
        <w:rPr>
          <w:i/>
          <w:iCs/>
        </w:rPr>
        <w:t xml:space="preserve">distinguishable volume</w:t>
      </w:r>
      <w:r>
        <w:t xml:space="preserve"> </w:t>
      </w:r>
      <w:r>
        <w:t xml:space="preserve">in distribution space: it quantifies how many statistically distinguishable distributions exist in an infinitesimal neighborhood of</w:t>
      </w:r>
      <w:r>
        <w:t xml:space="preserve"> </w:t>
      </w:r>
      <m:oMath>
        <m:r>
          <m:t>θ</m:t>
        </m:r>
      </m:oMath>
      <w:r>
        <w:t xml:space="preserve">. We call this the</w:t>
      </w:r>
      <w:r>
        <w:t xml:space="preserve"> </w:t>
      </w:r>
      <w:r>
        <w:rPr>
          <w:i/>
          <w:iCs/>
        </w:rPr>
        <w:t xml:space="preserve">informational volume density</w:t>
      </w:r>
      <w:r>
        <w:t xml:space="preserve">.</w:t>
      </w:r>
    </w:p>
    <w:p>
      <w:pPr>
        <w:pStyle w:val="BodyText"/>
      </w:pPr>
      <w:r>
        <w:rPr>
          <w:i/>
          <w:iCs/>
        </w:rPr>
        <w:t xml:space="preserve">Remark 2</w:t>
      </w:r>
      <w:r>
        <w:t xml:space="preserve"> </w:t>
      </w:r>
      <w:r>
        <w:t xml:space="preserve">(Jeffreys prior).</w:t>
      </w:r>
      <w:r>
        <w:t xml:space="preserve"> </w:t>
      </w:r>
      <w:r>
        <w:t xml:space="preserve"> </w:t>
      </w:r>
      <w:r>
        <w:t xml:space="preserve">The density</w:t>
      </w:r>
      <w:r>
        <w:t xml:space="preserve"> </w:t>
      </w:r>
      <m:oMath>
        <m:rad>
          <m:radPr>
            <m:degHide m:val="on"/>
          </m:radPr>
          <m:deg/>
          <m:e>
            <m:r>
              <m:rPr>
                <m:sty m:val="p"/>
              </m:rPr>
              <m:t>det</m:t>
            </m:r>
            <m:r>
              <m:t>g</m:t>
            </m:r>
            <m:r>
              <m:rPr>
                <m:sty m:val="p"/>
              </m:rPr>
              <m:t>(</m:t>
            </m:r>
            <m:r>
              <m:t>θ</m:t>
            </m:r>
            <m:r>
              <m:rPr>
                <m:sty m:val="p"/>
              </m:rPr>
              <m:t>)</m:t>
            </m:r>
          </m:e>
        </m:rad>
      </m:oMath>
      <w:r>
        <w:t xml:space="preserve"> </w:t>
      </w:r>
      <w:r>
        <w:t xml:space="preserve">is precisely the Jeffreys prior</w:t>
      </w:r>
      <w:r>
        <w:t xml:space="preserve"> </w:t>
      </w:r>
      <w:r>
        <w:t xml:space="preserve">—the unique prior that is invariant under reparameterization. This is not coincidental: the Jeffreys prior assigns mass proportional to the number of distinguishable distributions, which is the volume element of the Fisher metric.</w:t>
      </w:r>
    </w:p>
    <w:bookmarkEnd w:id="15"/>
    <w:bookmarkStart w:id="16" w:name="product-manifolds-and-diagonal-metrics"/>
    <w:p>
      <w:pPr>
        <w:pStyle w:val="Heading2"/>
      </w:pPr>
      <w:r>
        <w:t xml:space="preserve">Product manifolds and diagonal metrics</w:t>
      </w:r>
    </w:p>
    <w:p>
      <w:pPr>
        <w:pStyle w:val="FirstParagraph"/>
      </w:pPr>
      <w:r>
        <w:t xml:space="preserve">When the parameters</w:t>
      </w:r>
      <w:r>
        <w:t xml:space="preserve"> </w:t>
      </w:r>
      <m:oMath>
        <m:sSub>
          <m:e>
            <m:r>
              <m:t>θ</m:t>
            </m:r>
          </m:e>
          <m:sub>
            <m:r>
              <m:t>1</m:t>
            </m:r>
          </m:sub>
        </m:sSub>
        <m:r>
          <m:rPr>
            <m:sty m:val="p"/>
          </m:rPr>
          <m:t>,</m:t>
        </m:r>
        <m:r>
          <m:rPr>
            <m:sty m:val="p"/>
          </m:rPr>
          <m:t>…</m:t>
        </m:r>
        <m:r>
          <m:rPr>
            <m:sty m:val="p"/>
          </m:rPr>
          <m:t>,</m:t>
        </m:r>
        <m:sSub>
          <m:e>
            <m:r>
              <m:t>θ</m:t>
            </m:r>
          </m:e>
          <m:sub>
            <m:r>
              <m:t>N</m:t>
            </m:r>
          </m:sub>
        </m:sSub>
      </m:oMath>
      <w:r>
        <w:t xml:space="preserve"> </w:t>
      </w:r>
      <w:r>
        <w:t xml:space="preserve">are statistically independent—that is,</w:t>
      </w:r>
      <w:r>
        <w:t xml:space="preserve"> </w:t>
      </w:r>
      <m:oMath>
        <m:r>
          <m:t>p</m:t>
        </m:r>
        <m:r>
          <m:rPr>
            <m:sty m:val="p"/>
          </m:rPr>
          <m:t>(</m:t>
        </m:r>
        <m:r>
          <m:t>x</m:t>
        </m:r>
        <m:r>
          <m:rPr>
            <m:sty m:val="p"/>
          </m:rPr>
          <m:t>∣</m:t>
        </m:r>
        <m:r>
          <m:t>θ</m:t>
        </m:r>
        <m:r>
          <m:rPr>
            <m:sty m:val="p"/>
          </m:rPr>
          <m:t>)</m:t>
        </m:r>
        <m:r>
          <m:rPr>
            <m:sty m:val="p"/>
          </m:rPr>
          <m:t>=</m:t>
        </m:r>
        <m:nary>
          <m:naryPr>
            <m:chr m:val="∏"/>
            <m:limLoc m:val="undOvr"/>
            <m:subHide m:val="off"/>
            <m:supHide m:val="off"/>
          </m:naryPr>
          <m:sub>
            <m:r>
              <m:t>i</m:t>
            </m:r>
            <m:r>
              <m:rPr>
                <m:sty m:val="p"/>
              </m:rPr>
              <m:t>=</m:t>
            </m:r>
            <m:r>
              <m:t>1</m:t>
            </m:r>
          </m:sub>
          <m:sup>
            <m:r>
              <m:t>N</m:t>
            </m:r>
          </m:sup>
          <m:e>
            <m:sSub>
              <m:e>
                <m:r>
                  <m:t>p</m:t>
                </m:r>
              </m:e>
              <m:sub>
                <m:r>
                  <m:t>i</m:t>
                </m:r>
              </m:sub>
            </m:sSub>
          </m:e>
        </m:nary>
        <m:r>
          <m:rPr>
            <m:sty m:val="p"/>
          </m:rPr>
          <m:t>(</m:t>
        </m:r>
        <m:sSub>
          <m:e>
            <m:r>
              <m:t>x</m:t>
            </m:r>
          </m:e>
          <m:sub>
            <m:r>
              <m:t>i</m:t>
            </m:r>
          </m:sub>
        </m:sSub>
        <m:r>
          <m:rPr>
            <m:sty m:val="p"/>
          </m:rPr>
          <m:t>∣</m:t>
        </m:r>
        <m:sSub>
          <m:e>
            <m:r>
              <m:t>θ</m:t>
            </m:r>
          </m:e>
          <m:sub>
            <m:r>
              <m:t>i</m:t>
            </m:r>
          </m:sub>
        </m:sSub>
        <m:r>
          <m:rPr>
            <m:sty m:val="p"/>
          </m:rPr>
          <m:t>)</m:t>
        </m:r>
      </m:oMath>
      <w:r>
        <w:t xml:space="preserve">—the Fisher information matrix is diagonal:</w:t>
      </w:r>
    </w:p>
    <w:p>
      <w:pPr>
        <w:pStyle w:val="BodyText"/>
      </w:pPr>
      <m:oMathPara>
        <m:oMathParaPr>
          <m:jc m:val="center"/>
        </m:oMathParaPr>
        <m:oMath>
          <m:sSub>
            <m:e>
              <m:r>
                <m:t>g</m:t>
              </m:r>
            </m:e>
            <m:sub>
              <m:r>
                <m:t>i</m:t>
              </m:r>
              <m:r>
                <m:t>j</m:t>
              </m:r>
            </m:sub>
          </m:sSub>
          <m:r>
            <m:rPr>
              <m:sty m:val="p"/>
            </m:rPr>
            <m:t>(</m:t>
          </m:r>
          <m:r>
            <m:t>θ</m:t>
          </m:r>
          <m:r>
            <m:rPr>
              <m:sty m:val="p"/>
            </m:rPr>
            <m:t>)</m:t>
          </m:r>
          <m:r>
            <m:rPr>
              <m:sty m:val="p"/>
            </m:rPr>
            <m:t>=</m:t>
          </m:r>
          <m:sSub>
            <m:e>
              <m:r>
                <m:t>g</m:t>
              </m:r>
            </m:e>
            <m:sub>
              <m:r>
                <m:t>i</m:t>
              </m:r>
              <m:r>
                <m:t>i</m:t>
              </m:r>
            </m:sub>
          </m:sSub>
          <m:r>
            <m:rPr>
              <m:sty m:val="p"/>
            </m:rPr>
            <m:t>(</m:t>
          </m:r>
          <m:sSub>
            <m:e>
              <m:r>
                <m:t>θ</m:t>
              </m:r>
            </m:e>
            <m:sub>
              <m:r>
                <m:t>i</m:t>
              </m:r>
            </m:sub>
          </m:sSub>
          <m:r>
            <m:rPr>
              <m:sty m:val="p"/>
            </m:rPr>
            <m:t>)</m:t>
          </m:r>
          <m:r>
            <m:t> </m:t>
          </m:r>
          <m:sSub>
            <m:e>
              <m:r>
                <m:t>δ</m:t>
              </m:r>
            </m:e>
            <m:sub>
              <m:r>
                <m:t>i</m:t>
              </m:r>
              <m:r>
                <m:t>j</m:t>
              </m:r>
            </m:sub>
          </m:sSub>
          <m:r>
            <m:rPr>
              <m:sty m:val="p"/>
            </m:rPr>
            <m:t>.</m:t>
          </m:r>
        </m:oMath>
      </m:oMathPara>
    </w:p>
    <w:p>
      <w:pPr>
        <w:pStyle w:val="FirstParagraph"/>
      </w:pPr>
      <w:r>
        <w:t xml:space="preserve">The statistical manifold decomposes as a Riemannian product</w:t>
      </w:r>
      <w:r>
        <w:t xml:space="preserve"> </w:t>
      </w:r>
      <m:oMath>
        <m:r>
          <m:rPr>
            <m:scr m:val="script"/>
            <m:sty m:val="p"/>
          </m:rPr>
          <m:t>M</m:t>
        </m:r>
        <m:r>
          <m:rPr>
            <m:sty m:val="p"/>
          </m:rPr>
          <m:t>=</m:t>
        </m:r>
        <m:sSub>
          <m:e>
            <m:r>
              <m:rPr>
                <m:scr m:val="script"/>
                <m:sty m:val="p"/>
              </m:rPr>
              <m:t>M</m:t>
            </m:r>
          </m:e>
          <m:sub>
            <m:r>
              <m:t>1</m:t>
            </m:r>
          </m:sub>
        </m:sSub>
        <m:r>
          <m:rPr>
            <m:sty m:val="p"/>
          </m:rPr>
          <m:t>×</m:t>
        </m:r>
        <m:r>
          <m:rPr>
            <m:sty m:val="p"/>
          </m:rPr>
          <m:t>⋯</m:t>
        </m:r>
        <m:r>
          <m:rPr>
            <m:sty m:val="p"/>
          </m:rPr>
          <m:t>×</m:t>
        </m:r>
        <m:sSub>
          <m:e>
            <m:r>
              <m:rPr>
                <m:scr m:val="script"/>
                <m:sty m:val="p"/>
              </m:rPr>
              <m:t>M</m:t>
            </m:r>
          </m:e>
          <m:sub>
            <m:r>
              <m:t>N</m:t>
            </m:r>
          </m:sub>
        </m:sSub>
      </m:oMath>
      <w:r>
        <w:t xml:space="preserve">, where each factor</w:t>
      </w:r>
      <w:r>
        <w:t xml:space="preserve"> </w:t>
      </w:r>
      <m:oMath>
        <m:sSub>
          <m:e>
            <m:r>
              <m:rPr>
                <m:scr m:val="script"/>
                <m:sty m:val="p"/>
              </m:rPr>
              <m:t>M</m:t>
            </m:r>
          </m:e>
          <m:sub>
            <m:r>
              <m:t>i</m:t>
            </m:r>
          </m:sub>
        </m:sSub>
      </m:oMath>
      <w:r>
        <w:t xml:space="preserve"> </w:t>
      </w:r>
      <w:r>
        <w:t xml:space="preserve">is a one-dimensional statistical manifold with metric</w:t>
      </w:r>
      <w:r>
        <w:t xml:space="preserve"> </w:t>
      </w:r>
      <m:oMath>
        <m:sSub>
          <m:e>
            <m:r>
              <m:t>g</m:t>
            </m:r>
          </m:e>
          <m:sub>
            <m:r>
              <m:t>i</m:t>
            </m:r>
            <m:r>
              <m:t>i</m:t>
            </m:r>
          </m:sub>
        </m:sSub>
        <m:r>
          <m:rPr>
            <m:sty m:val="p"/>
          </m:rPr>
          <m:t>(</m:t>
        </m:r>
        <m:sSub>
          <m:e>
            <m:r>
              <m:t>θ</m:t>
            </m:r>
          </m:e>
          <m:sub>
            <m:r>
              <m:t>i</m:t>
            </m:r>
          </m:sub>
        </m:sSub>
        <m:r>
          <m:rPr>
            <m:sty m:val="p"/>
          </m:rPr>
          <m:t>)</m:t>
        </m:r>
      </m:oMath>
      <w:r>
        <w:t xml:space="preserve">.</w:t>
      </w:r>
    </w:p>
    <w:bookmarkEnd w:id="16"/>
    <w:bookmarkEnd w:id="17"/>
    <w:bookmarkStart w:id="20" w:name="sec:factorization"/>
    <w:p>
      <w:pPr>
        <w:pStyle w:val="Heading1"/>
      </w:pPr>
      <w:r>
        <w:t xml:space="preserve">Volume Factorization for Product Manifolds</w:t>
      </w:r>
    </w:p>
    <w:bookmarkStart w:id="18" w:name="thm:factor"/>
    <w:p>
      <w:pPr>
        <w:pStyle w:val="FirstParagraph"/>
      </w:pPr>
      <w:r>
        <w:rPr>
          <w:b/>
          <w:bCs/>
        </w:rPr>
        <w:t xml:space="preserve">Theorem 3</w:t>
      </w:r>
      <w:r>
        <w:t xml:space="preserve"> </w:t>
      </w:r>
      <w:r>
        <w:t xml:space="preserve">(Volume factorization).</w:t>
      </w:r>
      <w:r>
        <w:t xml:space="preserve"> </w:t>
      </w:r>
      <w:r>
        <w:t xml:space="preserve"> </w:t>
      </w:r>
      <w:r>
        <w:rPr>
          <w:i/>
          <w:iCs/>
        </w:rPr>
        <w:t xml:space="preserve">Let</w:t>
      </w:r>
      <w:r>
        <w:rPr>
          <w:i/>
          <w:iCs/>
        </w:rPr>
        <w:t xml:space="preserve"> </w:t>
      </w:r>
      <m:oMath>
        <m:r>
          <m:rPr>
            <m:scr m:val="script"/>
            <m:sty m:val="p"/>
          </m:rPr>
          <m:t>M</m:t>
        </m:r>
        <m:r>
          <m:rPr>
            <m:sty m:val="p"/>
          </m:rPr>
          <m:t>=</m:t>
        </m:r>
        <m:sSub>
          <m:e>
            <m:r>
              <m:rPr>
                <m:scr m:val="script"/>
                <m:sty m:val="p"/>
              </m:rPr>
              <m:t>M</m:t>
            </m:r>
          </m:e>
          <m:sub>
            <m:r>
              <m:t>1</m:t>
            </m:r>
          </m:sub>
        </m:sSub>
        <m:r>
          <m:rPr>
            <m:sty m:val="p"/>
          </m:rPr>
          <m:t>×</m:t>
        </m:r>
        <m:r>
          <m:rPr>
            <m:sty m:val="p"/>
          </m:rPr>
          <m:t>⋯</m:t>
        </m:r>
        <m:r>
          <m:rPr>
            <m:sty m:val="p"/>
          </m:rPr>
          <m:t>×</m:t>
        </m:r>
        <m:sSub>
          <m:e>
            <m:r>
              <m:rPr>
                <m:scr m:val="script"/>
                <m:sty m:val="p"/>
              </m:rPr>
              <m:t>M</m:t>
            </m:r>
          </m:e>
          <m:sub>
            <m:r>
              <m:t>N</m:t>
            </m:r>
          </m:sub>
        </m:sSub>
      </m:oMath>
      <w:r>
        <w:rPr>
          <w:i/>
          <w:iCs/>
        </w:rPr>
        <w:t xml:space="preserve"> </w:t>
      </w:r>
      <w:r>
        <w:rPr>
          <w:i/>
          <w:iCs/>
        </w:rPr>
        <w:t xml:space="preserve">be a product statistical manifold with diagonal Fisher metric</w:t>
      </w:r>
      <w:r>
        <w:rPr>
          <w:i/>
          <w:iCs/>
        </w:rPr>
        <w:t xml:space="preserve"> </w:t>
      </w:r>
      <w:hyperlink w:anchor="eq:diagonal">
        <w:r>
          <w:rPr>
            <w:rStyle w:val="Hyperlink"/>
            <w:i/>
            <w:iCs/>
          </w:rPr>
          <w:t xml:space="preserve">[eq:diagonal]</w:t>
        </w:r>
      </w:hyperlink>
      <w:r>
        <w:rPr>
          <w:i/>
          <w:iCs/>
        </w:rPr>
        <w:t xml:space="preserve">. Then:</w:t>
      </w:r>
      <w:r>
        <w:rPr>
          <w:i/>
          <w:iCs/>
        </w:rPr>
        <w:t xml:space="preserve"> </w:t>
      </w:r>
      <m:oMathPara>
        <m:oMathParaPr>
          <m:jc m:val="center"/>
        </m:oMathParaPr>
        <m:oMath>
          <m:rad>
            <m:radPr>
              <m:degHide m:val="on"/>
            </m:radPr>
            <m:deg/>
            <m:e>
              <m:r>
                <m:rPr>
                  <m:sty m:val="p"/>
                </m:rPr>
                <m:t>det</m:t>
              </m:r>
              <m:r>
                <m:t>g</m:t>
              </m:r>
              <m:r>
                <m:rPr>
                  <m:sty m:val="p"/>
                </m:rPr>
                <m:t>(</m:t>
              </m:r>
              <m:r>
                <m:t>θ</m:t>
              </m:r>
              <m:r>
                <m:rPr>
                  <m:sty m:val="p"/>
                </m:rPr>
                <m:t>)</m:t>
              </m:r>
            </m:e>
          </m:rad>
          <m:r>
            <m:rPr>
              <m:sty m:val="p"/>
            </m:rPr>
            <m:t>=</m:t>
          </m:r>
          <m:nary>
            <m:naryPr>
              <m:chr m:val="∏"/>
              <m:limLoc m:val="undOvr"/>
              <m:subHide m:val="off"/>
              <m:supHide m:val="off"/>
            </m:naryPr>
            <m:sub>
              <m:r>
                <m:t>i</m:t>
              </m:r>
              <m:r>
                <m:rPr>
                  <m:sty m:val="p"/>
                </m:rPr>
                <m:t>=</m:t>
              </m:r>
              <m:r>
                <m:t>1</m:t>
              </m:r>
            </m:sub>
            <m:sup>
              <m:r>
                <m:t>N</m:t>
              </m:r>
            </m:sup>
            <m:e>
              <m:rad>
                <m:radPr>
                  <m:degHide m:val="on"/>
                </m:radPr>
                <m:deg/>
                <m:e>
                  <m:sSub>
                    <m:e>
                      <m:r>
                        <m:t>g</m:t>
                      </m:r>
                    </m:e>
                    <m:sub>
                      <m:r>
                        <m:t>i</m:t>
                      </m:r>
                      <m:r>
                        <m:t>i</m:t>
                      </m:r>
                    </m:sub>
                  </m:sSub>
                  <m:r>
                    <m:rPr>
                      <m:sty m:val="p"/>
                    </m:rPr>
                    <m:t>(</m:t>
                  </m:r>
                  <m:sSub>
                    <m:e>
                      <m:r>
                        <m:t>θ</m:t>
                      </m:r>
                    </m:e>
                    <m:sub>
                      <m:r>
                        <m:t>i</m:t>
                      </m:r>
                    </m:sub>
                  </m:sSub>
                  <m:r>
                    <m:rPr>
                      <m:sty m:val="p"/>
                    </m:rPr>
                    <m:t>)</m:t>
                  </m:r>
                </m:e>
              </m:rad>
            </m:e>
          </m:nary>
          <m:r>
            <m:rPr>
              <m:sty m:val="p"/>
            </m:rPr>
            <m:t>.</m:t>
          </m:r>
        </m:oMath>
      </m:oMathPara>
    </w:p>
    <w:bookmarkEnd w:id="18"/>
    <w:p>
      <w:pPr>
        <w:pStyle w:val="FirstParagraph"/>
      </w:pPr>
      <w:r>
        <w:rPr>
          <w:i/>
          <w:iCs/>
        </w:rPr>
        <w:t xml:space="preserve">Proof.</w:t>
      </w:r>
      <w:r>
        <w:t xml:space="preserve"> </w:t>
      </w:r>
      <w:r>
        <w:t xml:space="preserve">Since</w:t>
      </w:r>
      <w:r>
        <w:t xml:space="preserve"> </w:t>
      </w:r>
      <m:oMath>
        <m:r>
          <m:t>g</m:t>
        </m:r>
      </m:oMath>
      <w:r>
        <w:t xml:space="preserve"> </w:t>
      </w:r>
      <w:r>
        <w:t xml:space="preserve">is diagonal,</w:t>
      </w:r>
      <w:r>
        <w:t xml:space="preserve"> </w:t>
      </w:r>
      <m:oMath>
        <m:r>
          <m:rPr>
            <m:sty m:val="p"/>
          </m:rPr>
          <m:t>det</m:t>
        </m:r>
        <m:r>
          <m:t>g</m:t>
        </m:r>
        <m:r>
          <m:rPr>
            <m:sty m:val="p"/>
          </m:rPr>
          <m:t>=</m:t>
        </m:r>
        <m:nary>
          <m:naryPr>
            <m:chr m:val="∏"/>
            <m:limLoc m:val="undOvr"/>
            <m:subHide m:val="off"/>
            <m:supHide m:val="off"/>
          </m:naryPr>
          <m:sub>
            <m:r>
              <m:t>i</m:t>
            </m:r>
            <m:r>
              <m:rPr>
                <m:sty m:val="p"/>
              </m:rPr>
              <m:t>=</m:t>
            </m:r>
            <m:r>
              <m:t>1</m:t>
            </m:r>
          </m:sub>
          <m:sup>
            <m:r>
              <m:t>N</m:t>
            </m:r>
          </m:sup>
          <m:e>
            <m:sSub>
              <m:e>
                <m:r>
                  <m:t>g</m:t>
                </m:r>
              </m:e>
              <m:sub>
                <m:r>
                  <m:t>i</m:t>
                </m:r>
                <m:r>
                  <m:t>i</m:t>
                </m:r>
              </m:sub>
            </m:sSub>
          </m:e>
        </m:nary>
        <m:r>
          <m:rPr>
            <m:sty m:val="p"/>
          </m:rPr>
          <m:t>(</m:t>
        </m:r>
        <m:sSub>
          <m:e>
            <m:r>
              <m:t>θ</m:t>
            </m:r>
          </m:e>
          <m:sub>
            <m:r>
              <m:t>i</m:t>
            </m:r>
          </m:sub>
        </m:sSub>
        <m:r>
          <m:rPr>
            <m:sty m:val="p"/>
          </m:rPr>
          <m:t>)</m:t>
        </m:r>
      </m:oMath>
      <w:r>
        <w:t xml:space="preserve">. Taking the square root of both sides and using the positivity of each</w:t>
      </w:r>
      <w:r>
        <w:t xml:space="preserve"> </w:t>
      </w:r>
      <m:oMath>
        <m:sSub>
          <m:e>
            <m:r>
              <m:t>g</m:t>
            </m:r>
          </m:e>
          <m:sub>
            <m:r>
              <m:t>i</m:t>
            </m:r>
            <m:r>
              <m:t>i</m:t>
            </m:r>
          </m:sub>
        </m:sSub>
      </m:oMath>
      <w:r>
        <w:t xml:space="preserve"> </w:t>
      </w:r>
      <w:r>
        <w:t xml:space="preserve">on the interior:</w:t>
      </w:r>
    </w:p>
    <w:p>
      <w:pPr>
        <w:pStyle w:val="BodyText"/>
      </w:pPr>
      <m:oMathPara>
        <m:oMathParaPr>
          <m:jc m:val="center"/>
        </m:oMathParaPr>
        <m:oMath>
          <m:rad>
            <m:radPr>
              <m:degHide m:val="on"/>
            </m:radPr>
            <m:deg/>
            <m:e>
              <m:r>
                <m:rPr>
                  <m:sty m:val="p"/>
                </m:rPr>
                <m:t>det</m:t>
              </m:r>
              <m:r>
                <m:t>g</m:t>
              </m:r>
            </m:e>
          </m:rad>
          <m:r>
            <m:rPr>
              <m:sty m:val="p"/>
            </m:rPr>
            <m:t>=</m:t>
          </m:r>
          <m:rad>
            <m:radPr>
              <m:degHide m:val="on"/>
            </m:radPr>
            <m:deg/>
            <m:e>
              <m:nary>
                <m:naryPr>
                  <m:chr m:val="∏"/>
                  <m:limLoc m:val="undOvr"/>
                  <m:subHide m:val="off"/>
                  <m:supHide m:val="off"/>
                </m:naryPr>
                <m:sub>
                  <m:r>
                    <m:t>i</m:t>
                  </m:r>
                  <m:r>
                    <m:rPr>
                      <m:sty m:val="p"/>
                    </m:rPr>
                    <m:t>=</m:t>
                  </m:r>
                  <m:r>
                    <m:t>1</m:t>
                  </m:r>
                </m:sub>
                <m:sup>
                  <m:r>
                    <m:t>N</m:t>
                  </m:r>
                </m:sup>
                <m:e>
                  <m:sSub>
                    <m:e>
                      <m:r>
                        <m:t>g</m:t>
                      </m:r>
                    </m:e>
                    <m:sub>
                      <m:r>
                        <m:t>i</m:t>
                      </m:r>
                      <m:r>
                        <m:t>i</m:t>
                      </m:r>
                    </m:sub>
                  </m:sSub>
                </m:e>
              </m:nary>
              <m:r>
                <m:rPr>
                  <m:sty m:val="p"/>
                </m:rPr>
                <m:t>(</m:t>
              </m:r>
              <m:sSub>
                <m:e>
                  <m:r>
                    <m:t>θ</m:t>
                  </m:r>
                </m:e>
                <m:sub>
                  <m:r>
                    <m:t>i</m:t>
                  </m:r>
                </m:sub>
              </m:sSub>
              <m:r>
                <m:rPr>
                  <m:sty m:val="p"/>
                </m:rPr>
                <m:t>)</m:t>
              </m:r>
            </m:e>
          </m:rad>
          <m:r>
            <m:rPr>
              <m:sty m:val="p"/>
            </m:rPr>
            <m:t>=</m:t>
          </m:r>
          <m:nary>
            <m:naryPr>
              <m:chr m:val="∏"/>
              <m:limLoc m:val="undOvr"/>
              <m:subHide m:val="off"/>
              <m:supHide m:val="off"/>
            </m:naryPr>
            <m:sub>
              <m:r>
                <m:t>i</m:t>
              </m:r>
              <m:r>
                <m:rPr>
                  <m:sty m:val="p"/>
                </m:rPr>
                <m:t>=</m:t>
              </m:r>
              <m:r>
                <m:t>1</m:t>
              </m:r>
            </m:sub>
            <m:sup>
              <m:r>
                <m:t>N</m:t>
              </m:r>
            </m:sup>
            <m:e>
              <m:rad>
                <m:radPr>
                  <m:degHide m:val="on"/>
                </m:radPr>
                <m:deg/>
                <m:e>
                  <m:sSub>
                    <m:e>
                      <m:r>
                        <m:t>g</m:t>
                      </m:r>
                    </m:e>
                    <m:sub>
                      <m:r>
                        <m:t>i</m:t>
                      </m:r>
                      <m:r>
                        <m:t>i</m:t>
                      </m:r>
                    </m:sub>
                  </m:sSub>
                  <m:r>
                    <m:rPr>
                      <m:sty m:val="p"/>
                    </m:rPr>
                    <m:t>(</m:t>
                  </m:r>
                  <m:sSub>
                    <m:e>
                      <m:r>
                        <m:t>θ</m:t>
                      </m:r>
                    </m:e>
                    <m:sub>
                      <m:r>
                        <m:t>i</m:t>
                      </m:r>
                    </m:sub>
                  </m:sSub>
                  <m:r>
                    <m:rPr>
                      <m:sty m:val="p"/>
                    </m:rPr>
                    <m:t>)</m:t>
                  </m:r>
                </m:e>
              </m:rad>
            </m:e>
          </m:nary>
          <m:r>
            <m:rPr>
              <m:sty m:val="p"/>
            </m:rPr>
            <m:t>.</m:t>
          </m:r>
        </m:oMath>
      </m:oMathPara>
    </w:p>
    <w:p>
      <w:pPr>
        <w:pStyle w:val="FirstParagraph"/>
      </w:pPr>
      <w:r>
        <w:t xml:space="preserve"> ◻</w:t>
      </w:r>
    </w:p>
    <w:bookmarkStart w:id="19" w:name="cor:mult"/>
    <w:p>
      <w:pPr>
        <w:pStyle w:val="BodyText"/>
      </w:pPr>
      <w:r>
        <w:rPr>
          <w:b/>
          <w:bCs/>
        </w:rPr>
        <w:t xml:space="preserve">Corollary 4</w:t>
      </w:r>
      <w:r>
        <w:t xml:space="preserve">.</w:t>
      </w:r>
      <w:r>
        <w:t xml:space="preserve"> </w:t>
      </w:r>
      <w:r>
        <w:t xml:space="preserve"> </w:t>
      </w:r>
      <w:r>
        <w:rPr>
          <w:i/>
          <w:iCs/>
        </w:rPr>
        <w:t xml:space="preserve">The informational volume density of a product statistical manifold is a multiplicative function of the individual dimension metrics. If we define</w:t>
      </w:r>
      <w:r>
        <w:rPr>
          <w:i/>
          <w:iCs/>
        </w:rPr>
        <w:t xml:space="preserve"> </w:t>
      </w:r>
      <m:oMath>
        <m:sSub>
          <m:e>
            <m:r>
              <m:t>h</m:t>
            </m:r>
          </m:e>
          <m:sub>
            <m:r>
              <m:t>i</m:t>
            </m:r>
          </m:sub>
        </m:sSub>
        <m:r>
          <m:rPr>
            <m:sty m:val="p"/>
          </m:rPr>
          <m:t>(</m:t>
        </m:r>
        <m:sSub>
          <m:e>
            <m:r>
              <m:t>θ</m:t>
            </m:r>
          </m:e>
          <m:sub>
            <m:r>
              <m:t>i</m:t>
            </m:r>
          </m:sub>
        </m:sSub>
        <m:r>
          <m:rPr>
            <m:sty m:val="p"/>
          </m:rPr>
          <m:t>)</m:t>
        </m:r>
        <m:r>
          <m:rPr>
            <m:sty m:val="p"/>
          </m:rPr>
          <m:t>≔</m:t>
        </m:r>
        <m:rad>
          <m:radPr>
            <m:degHide m:val="on"/>
          </m:radPr>
          <m:deg/>
          <m:e>
            <m:sSub>
              <m:e>
                <m:r>
                  <m:t>g</m:t>
                </m:r>
              </m:e>
              <m:sub>
                <m:r>
                  <m:t>i</m:t>
                </m:r>
                <m:r>
                  <m:t>i</m:t>
                </m:r>
              </m:sub>
            </m:sSub>
            <m:r>
              <m:rPr>
                <m:sty m:val="p"/>
              </m:rPr>
              <m:t>(</m:t>
            </m:r>
            <m:sSub>
              <m:e>
                <m:r>
                  <m:t>θ</m:t>
                </m:r>
              </m:e>
              <m:sub>
                <m:r>
                  <m:t>i</m:t>
                </m:r>
              </m:sub>
            </m:sSub>
            <m:r>
              <m:rPr>
                <m:sty m:val="p"/>
              </m:rPr>
              <m:t>)</m:t>
            </m:r>
          </m:e>
        </m:rad>
      </m:oMath>
      <w:r>
        <w:rPr>
          <w:i/>
          <w:iCs/>
        </w:rPr>
        <w:t xml:space="preserve">—the</w:t>
      </w:r>
      <w:r>
        <w:rPr>
          <w:i/>
          <w:iCs/>
        </w:rPr>
        <w:t xml:space="preserve"> </w:t>
      </w:r>
      <w:r>
        <w:rPr>
          <w:i/>
          <w:i/>
          <w:iCs/>
          <w:iCs/>
        </w:rPr>
        <w:t xml:space="preserve">informational resolution</w:t>
      </w:r>
      <w:r>
        <w:rPr>
          <w:i/>
          <w:iCs/>
        </w:rPr>
        <w:t xml:space="preserve"> </w:t>
      </w:r>
      <w:r>
        <w:rPr>
          <w:i/>
          <w:iCs/>
        </w:rPr>
        <w:t xml:space="preserve">of dimension</w:t>
      </w:r>
      <w:r>
        <w:rPr>
          <w:i/>
          <w:iCs/>
        </w:rPr>
        <w:t xml:space="preserve"> </w:t>
      </w:r>
      <m:oMath>
        <m:r>
          <m:t>i</m:t>
        </m:r>
      </m:oMath>
      <w:r>
        <w:rPr>
          <w:i/>
          <w:iCs/>
        </w:rPr>
        <w:t xml:space="preserve">—then</w:t>
      </w:r>
      <w:r>
        <w:rPr>
          <w:i/>
          <w:iCs/>
        </w:rPr>
        <w:t xml:space="preserve"> </w:t>
      </w:r>
      <m:oMathPara>
        <m:oMathParaPr>
          <m:jc m:val="center"/>
        </m:oMathParaPr>
        <m:oMath>
          <m:rad>
            <m:radPr>
              <m:degHide m:val="on"/>
            </m:radPr>
            <m:deg/>
            <m:e>
              <m:r>
                <m:rPr>
                  <m:sty m:val="p"/>
                </m:rPr>
                <m:t>det</m:t>
              </m:r>
              <m:r>
                <m:t>g</m:t>
              </m:r>
              <m:r>
                <m:rPr>
                  <m:sty m:val="p"/>
                </m:rPr>
                <m:t>(</m:t>
              </m:r>
              <m:r>
                <m:t>θ</m:t>
              </m:r>
              <m:r>
                <m:rPr>
                  <m:sty m:val="p"/>
                </m:rPr>
                <m:t>)</m:t>
              </m:r>
            </m:e>
          </m:rad>
          <m:r>
            <m:rPr>
              <m:sty m:val="p"/>
            </m:rPr>
            <m:t>=</m:t>
          </m:r>
          <m:nary>
            <m:naryPr>
              <m:chr m:val="∏"/>
              <m:limLoc m:val="undOvr"/>
              <m:subHide m:val="off"/>
              <m:supHide m:val="off"/>
            </m:naryPr>
            <m:sub>
              <m:r>
                <m:t>i</m:t>
              </m:r>
              <m:r>
                <m:rPr>
                  <m:sty m:val="p"/>
                </m:rPr>
                <m:t>=</m:t>
              </m:r>
              <m:r>
                <m:t>1</m:t>
              </m:r>
            </m:sub>
            <m:sup>
              <m:r>
                <m:t>N</m:t>
              </m:r>
            </m:sup>
            <m:e>
              <m:sSub>
                <m:e>
                  <m:r>
                    <m:t>h</m:t>
                  </m:r>
                </m:e>
                <m:sub>
                  <m:r>
                    <m:t>i</m:t>
                  </m:r>
                </m:sub>
              </m:sSub>
            </m:e>
          </m:nary>
          <m:r>
            <m:rPr>
              <m:sty m:val="p"/>
            </m:rPr>
            <m:t>(</m:t>
          </m:r>
          <m:sSub>
            <m:e>
              <m:r>
                <m:t>θ</m:t>
              </m:r>
            </m:e>
            <m:sub>
              <m:r>
                <m:t>i</m:t>
              </m:r>
            </m:sub>
          </m:sSub>
          <m:r>
            <m:rPr>
              <m:sty m:val="p"/>
            </m:rPr>
            <m:t>)</m:t>
          </m:r>
          <m:r>
            <m:rPr>
              <m:sty m:val="p"/>
            </m:rPr>
            <m:t>.</m:t>
          </m:r>
        </m:oMath>
      </m:oMathPara>
      <w:r>
        <w:rPr>
          <w:i/>
          <w:iCs/>
        </w:rPr>
        <w:t xml:space="preserve"> </w:t>
      </w:r>
      <w:r>
        <w:rPr>
          <w:i/>
          <w:iCs/>
        </w:rPr>
        <w:t xml:space="preserve">This is a multiplicative composition of the individual informational resolutions.</w:t>
      </w:r>
    </w:p>
    <w:bookmarkEnd w:id="19"/>
    <w:p>
      <w:pPr>
        <w:pStyle w:val="FirstParagraph"/>
      </w:pPr>
      <w:r>
        <w:rPr>
          <w:i/>
          <w:iCs/>
        </w:rPr>
        <w:t xml:space="preserve">Remark 5</w:t>
      </w:r>
      <w:r>
        <w:t xml:space="preserve"> </w:t>
      </w:r>
      <w:r>
        <w:t xml:space="preserve">(Informational resolution).</w:t>
      </w:r>
      <w:r>
        <w:t xml:space="preserve"> </w:t>
      </w:r>
      <w:r>
        <w:t xml:space="preserve"> </w:t>
      </w:r>
      <w:r>
        <w:t xml:space="preserve">The quantity</w:t>
      </w:r>
      <w:r>
        <w:t xml:space="preserve"> </w:t>
      </w:r>
      <m:oMath>
        <m:sSub>
          <m:e>
            <m:r>
              <m:t>h</m:t>
            </m:r>
          </m:e>
          <m:sub>
            <m:r>
              <m:t>i</m:t>
            </m:r>
          </m:sub>
        </m:sSub>
        <m:r>
          <m:rPr>
            <m:sty m:val="p"/>
          </m:rPr>
          <m:t>(</m:t>
        </m:r>
        <m:sSub>
          <m:e>
            <m:r>
              <m:t>θ</m:t>
            </m:r>
          </m:e>
          <m:sub>
            <m:r>
              <m:t>i</m:t>
            </m:r>
          </m:sub>
        </m:sSub>
        <m:r>
          <m:rPr>
            <m:sty m:val="p"/>
          </m:rPr>
          <m:t>)</m:t>
        </m:r>
        <m:r>
          <m:rPr>
            <m:sty m:val="p"/>
          </m:rPr>
          <m:t>=</m:t>
        </m:r>
        <m:rad>
          <m:radPr>
            <m:degHide m:val="on"/>
          </m:radPr>
          <m:deg/>
          <m:e>
            <m:sSub>
              <m:e>
                <m:r>
                  <m:t>g</m:t>
                </m:r>
              </m:e>
              <m:sub>
                <m:r>
                  <m:t>i</m:t>
                </m:r>
                <m:r>
                  <m:t>i</m:t>
                </m:r>
              </m:sub>
            </m:sSub>
            <m:r>
              <m:rPr>
                <m:sty m:val="p"/>
              </m:rPr>
              <m:t>(</m:t>
            </m:r>
            <m:sSub>
              <m:e>
                <m:r>
                  <m:t>θ</m:t>
                </m:r>
              </m:e>
              <m:sub>
                <m:r>
                  <m:t>i</m:t>
                </m:r>
              </m:sub>
            </m:sSub>
            <m:r>
              <m:rPr>
                <m:sty m:val="p"/>
              </m:rPr>
              <m:t>)</m:t>
            </m:r>
          </m:e>
        </m:rad>
      </m:oMath>
      <w:r>
        <w:t xml:space="preserve"> </w:t>
      </w:r>
      <w:r>
        <w:t xml:space="preserve">has a precise operational meaning. It is the Fisher-Rao arc length per unit parameter change along axis</w:t>
      </w:r>
      <w:r>
        <w:t xml:space="preserve"> </w:t>
      </w:r>
      <m:oMath>
        <m:r>
          <m:t>i</m:t>
        </m:r>
      </m:oMath>
      <w:r>
        <w:t xml:space="preserve">: the infinitesimal statistical distance</w:t>
      </w:r>
      <w:r>
        <w:t xml:space="preserve"> </w:t>
      </w:r>
      <m:oMath>
        <m:r>
          <m:t>d</m:t>
        </m:r>
        <m:sSub>
          <m:e>
            <m:r>
              <m:t>s</m:t>
            </m:r>
          </m:e>
          <m:sub>
            <m:r>
              <m:t>i</m:t>
            </m:r>
          </m:sub>
        </m:sSub>
        <m:r>
          <m:rPr>
            <m:sty m:val="p"/>
          </m:rPr>
          <m:t>=</m:t>
        </m:r>
        <m:rad>
          <m:radPr>
            <m:degHide m:val="on"/>
          </m:radPr>
          <m:deg/>
          <m:e>
            <m:sSub>
              <m:e>
                <m:r>
                  <m:t>g</m:t>
                </m:r>
              </m:e>
              <m:sub>
                <m:r>
                  <m:t>i</m:t>
                </m:r>
                <m:r>
                  <m:t>i</m:t>
                </m:r>
              </m:sub>
            </m:sSub>
            <m:r>
              <m:rPr>
                <m:sty m:val="p"/>
              </m:rPr>
              <m:t>(</m:t>
            </m:r>
            <m:sSub>
              <m:e>
                <m:r>
                  <m:t>θ</m:t>
                </m:r>
              </m:e>
              <m:sub>
                <m:r>
                  <m:t>i</m:t>
                </m:r>
              </m:sub>
            </m:sSub>
            <m:r>
              <m:rPr>
                <m:sty m:val="p"/>
              </m:rPr>
              <m:t>)</m:t>
            </m:r>
          </m:e>
        </m:rad>
        <m:r>
          <m:t> </m:t>
        </m:r>
        <m:r>
          <m:rPr>
            <m:sty m:val="p"/>
          </m:rPr>
          <m:t>|</m:t>
        </m:r>
        <m:r>
          <m:t>d</m:t>
        </m:r>
        <m:sSub>
          <m:e>
            <m:r>
              <m:t>θ</m:t>
            </m:r>
          </m:e>
          <m:sub>
            <m:r>
              <m:t>i</m:t>
            </m:r>
          </m:sub>
        </m:sSub>
        <m:r>
          <m:rPr>
            <m:sty m:val="p"/>
          </m:rPr>
          <m:t>|</m:t>
        </m:r>
      </m:oMath>
      <w:r>
        <w:t xml:space="preserve">. It quantifies how rapidly the distribution changes—how distinguishable nearby states are—along dimension</w:t>
      </w:r>
      <w:r>
        <w:t xml:space="preserve"> </w:t>
      </w:r>
      <m:oMath>
        <m:r>
          <m:t>i</m:t>
        </m:r>
      </m:oMath>
      <w:r>
        <w:t xml:space="preserve">. Zero informational resolution (</w:t>
      </w:r>
      <m:oMath>
        <m:sSub>
          <m:e>
            <m:r>
              <m:t>h</m:t>
            </m:r>
          </m:e>
          <m:sub>
            <m:r>
              <m:t>i</m:t>
            </m:r>
          </m:sub>
        </m:sSub>
        <m:r>
          <m:rPr>
            <m:sty m:val="p"/>
          </m:rPr>
          <m:t>=</m:t>
        </m:r>
        <m:r>
          <m:t>0</m:t>
        </m:r>
      </m:oMath>
      <w:r>
        <w:t xml:space="preserve">) means the distribution is locally insensitive to</w:t>
      </w:r>
      <w:r>
        <w:t xml:space="preserve"> </w:t>
      </w:r>
      <m:oMath>
        <m:sSub>
          <m:e>
            <m:r>
              <m:t>θ</m:t>
            </m:r>
          </m:e>
          <m:sub>
            <m:r>
              <m:t>i</m:t>
            </m:r>
          </m:sub>
        </m:sSub>
      </m:oMath>
      <w:r>
        <w:t xml:space="preserve">: the channel carries no signal along that axis.</w:t>
      </w:r>
    </w:p>
    <w:p>
      <w:pPr>
        <w:pStyle w:val="BodyText"/>
      </w:pPr>
      <w:r>
        <w:t xml:space="preserve">Theorem </w:t>
      </w:r>
      <w:hyperlink w:anchor="thm:factor">
        <w:r>
          <w:rPr>
            <w:rStyle w:val="Hyperlink"/>
          </w:rPr>
          <w:t xml:space="preserve">3</w:t>
        </w:r>
      </w:hyperlink>
      <w:r>
        <w:t xml:space="preserve"> </w:t>
      </w:r>
      <w:r>
        <w:t xml:space="preserve">is the geometric core of this paper. It establishes that the multiplicative structure of the composition law</w:t>
      </w:r>
      <w:r>
        <w:t xml:space="preserve"> </w:t>
      </w:r>
      <w:hyperlink w:anchor="eq:mc">
        <w:r>
          <w:rPr>
            <w:rStyle w:val="Hyperlink"/>
          </w:rPr>
          <w:t xml:space="preserve">[eq:mc]</w:t>
        </w:r>
      </w:hyperlink>
      <w:r>
        <w:t xml:space="preserve"> </w:t>
      </w:r>
      <w:r>
        <w:t xml:space="preserve">is not an artifact of the five axioms in</w:t>
      </w:r>
      <w:r>
        <w:t xml:space="preserve"> </w:t>
      </w:r>
      <w:r>
        <w:t xml:space="preserve">—it is a property of the Riemannian volume element on product manifolds. The axioms capture this geometry in algebraic form.</w:t>
      </w:r>
    </w:p>
    <w:p>
      <w:pPr>
        <w:pStyle w:val="BodyText"/>
      </w:pPr>
      <w:r>
        <w:t xml:space="preserve">However, Theorem </w:t>
      </w:r>
      <w:hyperlink w:anchor="thm:factor">
        <w:r>
          <w:rPr>
            <w:rStyle w:val="Hyperlink"/>
          </w:rPr>
          <w:t xml:space="preserve">3</w:t>
        </w:r>
      </w:hyperlink>
      <w:r>
        <w:t xml:space="preserve"> </w:t>
      </w:r>
      <w:r>
        <w:t xml:space="preserve">does not by itself yield the power-law form</w:t>
      </w:r>
      <w:r>
        <w:t xml:space="preserve"> </w:t>
      </w:r>
      <m:oMath>
        <m:r>
          <m:rPr>
            <m:sty m:val="p"/>
          </m:rPr>
          <m:t>∏</m:t>
        </m:r>
        <m:sSubSup>
          <m:e>
            <m:r>
              <m:t>θ</m:t>
            </m:r>
          </m:e>
          <m:sub>
            <m:r>
              <m:t>i</m:t>
            </m:r>
          </m:sub>
          <m:sup>
            <m:sSub>
              <m:e>
                <m:r>
                  <m:t>α</m:t>
                </m:r>
              </m:e>
              <m:sub>
                <m:r>
                  <m:t>i</m:t>
                </m:r>
              </m:sub>
            </m:sSub>
          </m:sup>
        </m:sSubSup>
      </m:oMath>
      <w:r>
        <w:t xml:space="preserve">. It gives</w:t>
      </w:r>
      <w:r>
        <w:t xml:space="preserve"> </w:t>
      </w:r>
      <m:oMath>
        <m:r>
          <m:rPr>
            <m:sty m:val="p"/>
          </m:rPr>
          <m:t>∏</m:t>
        </m:r>
        <m:rad>
          <m:radPr>
            <m:degHide m:val="on"/>
          </m:radPr>
          <m:deg/>
          <m:e>
            <m:sSub>
              <m:e>
                <m:r>
                  <m:t>g</m:t>
                </m:r>
              </m:e>
              <m:sub>
                <m:r>
                  <m:t>i</m:t>
                </m:r>
                <m:r>
                  <m:t>i</m:t>
                </m:r>
              </m:sub>
            </m:sSub>
            <m:r>
              <m:rPr>
                <m:sty m:val="p"/>
              </m:rPr>
              <m:t>(</m:t>
            </m:r>
            <m:sSub>
              <m:e>
                <m:r>
                  <m:t>θ</m:t>
                </m:r>
              </m:e>
              <m:sub>
                <m:r>
                  <m:t>i</m:t>
                </m:r>
              </m:sub>
            </m:sSub>
            <m:r>
              <m:rPr>
                <m:sty m:val="p"/>
              </m:rPr>
              <m:t>)</m:t>
            </m:r>
          </m:e>
        </m:rad>
      </m:oMath>
      <w:r>
        <w:t xml:space="preserve">, which is multiplicative but with arbitrary functions of each</w:t>
      </w:r>
      <w:r>
        <w:t xml:space="preserve"> </w:t>
      </w:r>
      <m:oMath>
        <m:sSub>
          <m:e>
            <m:r>
              <m:t>θ</m:t>
            </m:r>
          </m:e>
          <m:sub>
            <m:r>
              <m:t>i</m:t>
            </m:r>
          </m:sub>
        </m:sSub>
      </m:oMath>
      <w:r>
        <w:t xml:space="preserve">. The power-law structure requires additional input from the statistical model.</w:t>
      </w:r>
    </w:p>
    <w:bookmarkEnd w:id="20"/>
    <w:bookmarkStart w:id="27" w:name="sec:model"/>
    <w:p>
      <w:pPr>
        <w:pStyle w:val="Heading1"/>
      </w:pPr>
      <w:r>
        <w:t xml:space="preserve">The Power-Law Response Channel</w:t>
      </w:r>
    </w:p>
    <w:bookmarkStart w:id="21" w:name="model-specification"/>
    <w:p>
      <w:pPr>
        <w:pStyle w:val="Heading2"/>
      </w:pPr>
      <w:r>
        <w:t xml:space="preserve">Model specification</w:t>
      </w:r>
    </w:p>
    <w:p>
      <w:pPr>
        <w:pStyle w:val="FirstParagraph"/>
      </w:pPr>
      <w:r>
        <w:t xml:space="preserve">Consider</w:t>
      </w:r>
      <w:r>
        <w:t xml:space="preserve"> </w:t>
      </w:r>
      <m:oMath>
        <m:r>
          <m:t>N</m:t>
        </m:r>
      </m:oMath>
      <w:r>
        <w:t xml:space="preserve"> </w:t>
      </w:r>
      <w:r>
        <w:t xml:space="preserve">independent observation channels. Channel</w:t>
      </w:r>
      <w:r>
        <w:t xml:space="preserve"> </w:t>
      </w:r>
      <m:oMath>
        <m:r>
          <m:t>i</m:t>
        </m:r>
      </m:oMath>
      <w:r>
        <w:t xml:space="preserve"> </w:t>
      </w:r>
      <w:r>
        <w:t xml:space="preserve">produces observations from a location family:</w:t>
      </w:r>
    </w:p>
    <w:p>
      <w:pPr>
        <w:pStyle w:val="BodyText"/>
      </w:pPr>
      <m:oMathPara>
        <m:oMathParaPr>
          <m:jc m:val="center"/>
        </m:oMathParaPr>
        <m:oMath>
          <m:sSub>
            <m:e>
              <m:r>
                <m:t>Y</m:t>
              </m:r>
            </m:e>
            <m:sub>
              <m:r>
                <m:t>i</m:t>
              </m:r>
            </m:sub>
          </m:sSub>
          <m:r>
            <m:rPr>
              <m:sty m:val="p"/>
            </m:rPr>
            <m:t>∼</m:t>
          </m:r>
          <m:sSub>
            <m:e>
              <m:r>
                <m:t>p</m:t>
              </m:r>
            </m:e>
            <m:sub>
              <m:r>
                <m:t>i</m:t>
              </m:r>
            </m:sub>
          </m:sSub>
          <m:r>
            <m:t>​</m:t>
          </m:r>
          <m:d>
            <m:dPr>
              <m:begChr m:val="("/>
              <m:sepChr m:val=""/>
              <m:endChr m:val=")"/>
              <m:grow/>
            </m:dPr>
            <m:e>
              <m:f>
                <m:fPr>
                  <m:type m:val="bar"/>
                </m:fPr>
                <m:num>
                  <m:sSub>
                    <m:e>
                      <m:r>
                        <m:t>y</m:t>
                      </m:r>
                    </m:e>
                    <m:sub>
                      <m:r>
                        <m:t>i</m:t>
                      </m:r>
                    </m:sub>
                  </m:sSub>
                  <m:r>
                    <m:rPr>
                      <m:sty m:val="p"/>
                    </m:rPr>
                    <m:t>−</m:t>
                  </m:r>
                  <m:sSub>
                    <m:e>
                      <m:r>
                        <m:t>μ</m:t>
                      </m:r>
                    </m:e>
                    <m:sub>
                      <m:r>
                        <m:t>i</m:t>
                      </m:r>
                    </m:sub>
                  </m:sSub>
                  <m:r>
                    <m:rPr>
                      <m:sty m:val="p"/>
                    </m:rPr>
                    <m:t>(</m:t>
                  </m:r>
                  <m:sSub>
                    <m:e>
                      <m:r>
                        <m:t>θ</m:t>
                      </m:r>
                    </m:e>
                    <m:sub>
                      <m:r>
                        <m:t>i</m:t>
                      </m:r>
                    </m:sub>
                  </m:sSub>
                  <m:r>
                    <m:rPr>
                      <m:sty m:val="p"/>
                    </m:rPr>
                    <m:t>)</m:t>
                  </m:r>
                </m:num>
                <m:den>
                  <m:sSub>
                    <m:e>
                      <m:r>
                        <m:t>σ</m:t>
                      </m:r>
                    </m:e>
                    <m:sub>
                      <m:r>
                        <m:t>i</m:t>
                      </m:r>
                    </m:sub>
                  </m:sSub>
                </m:den>
              </m:f>
            </m:e>
          </m:d>
          <m:r>
            <m:rPr>
              <m:sty m:val="p"/>
            </m:rPr>
            <m:t>,</m:t>
          </m:r>
          <m:r>
            <m:t> </m:t>
          </m:r>
          <m:sSub>
            <m:e>
              <m:r>
                <m:t>μ</m:t>
              </m:r>
            </m:e>
            <m:sub>
              <m:r>
                <m:t>i</m:t>
              </m:r>
            </m:sub>
          </m:sSub>
          <m:r>
            <m:rPr>
              <m:sty m:val="p"/>
            </m:rPr>
            <m:t>(</m:t>
          </m:r>
          <m:sSub>
            <m:e>
              <m:r>
                <m:t>θ</m:t>
              </m:r>
            </m:e>
            <m:sub>
              <m:r>
                <m:t>i</m:t>
              </m:r>
            </m:sub>
          </m:sSub>
          <m:r>
            <m:rPr>
              <m:sty m:val="p"/>
            </m:rPr>
            <m:t>)</m:t>
          </m:r>
          <m:r>
            <m:rPr>
              <m:sty m:val="p"/>
            </m:rPr>
            <m:t>=</m:t>
          </m:r>
          <m:sSubSup>
            <m:e>
              <m:r>
                <m:t>θ</m:t>
              </m:r>
            </m:e>
            <m:sub>
              <m:r>
                <m:t>i</m:t>
              </m:r>
            </m:sub>
            <m:sup>
              <m:sSub>
                <m:e>
                  <m:r>
                    <m:t>q</m:t>
                  </m:r>
                </m:e>
                <m:sub>
                  <m:r>
                    <m:t>i</m:t>
                  </m:r>
                </m:sub>
              </m:sSub>
            </m:sup>
          </m:sSubSup>
          <m:r>
            <m:rPr>
              <m:sty m:val="p"/>
            </m:rPr>
            <m:t>,</m:t>
          </m:r>
          <m:r>
            <m:t> </m:t>
          </m:r>
          <m:sSub>
            <m:e>
              <m:r>
                <m:t>q</m:t>
              </m:r>
            </m:e>
            <m:sub>
              <m:r>
                <m:t>i</m:t>
              </m:r>
            </m:sub>
          </m:sSub>
          <m:r>
            <m:rPr>
              <m:sty m:val="p"/>
            </m:rPr>
            <m:t>&gt;</m:t>
          </m:r>
          <m:r>
            <m:t>1</m:t>
          </m:r>
          <m:r>
            <m:rPr>
              <m:sty m:val="p"/>
            </m:rPr>
            <m:t>,</m:t>
          </m:r>
          <m:r>
            <m:t> </m:t>
          </m:r>
          <m:sSub>
            <m:e>
              <m:r>
                <m:t>θ</m:t>
              </m:r>
            </m:e>
            <m:sub>
              <m:r>
                <m:t>i</m:t>
              </m:r>
            </m:sub>
          </m:sSub>
          <m:r>
            <m:rPr>
              <m:sty m:val="p"/>
            </m:rPr>
            <m:t>≥</m:t>
          </m:r>
          <m:r>
            <m:t>0</m:t>
          </m:r>
          <m:r>
            <m:rPr>
              <m:sty m:val="p"/>
            </m:rPr>
            <m:t>,</m:t>
          </m:r>
        </m:oMath>
      </m:oMathPara>
    </w:p>
    <w:p>
      <w:pPr>
        <w:pStyle w:val="FirstParagraph"/>
      </w:pPr>
      <w:r>
        <w:t xml:space="preserve">where</w:t>
      </w:r>
      <w:r>
        <w:t xml:space="preserve"> </w:t>
      </w:r>
      <m:oMath>
        <m:sSub>
          <m:e>
            <m:r>
              <m:t>p</m:t>
            </m:r>
          </m:e>
          <m:sub>
            <m:r>
              <m:t>i</m:t>
            </m:r>
          </m:sub>
        </m:sSub>
      </m:oMath>
      <w:r>
        <w:t xml:space="preserve"> </w:t>
      </w:r>
      <w:r>
        <w:t xml:space="preserve">is a standardized density with finite Fisher information</w:t>
      </w:r>
      <w:r>
        <w:t xml:space="preserve"> </w:t>
      </w:r>
      <m:oMath>
        <m:sSub>
          <m:e>
            <m:r>
              <m:t>I</m:t>
            </m:r>
          </m:e>
          <m:sub>
            <m:sSub>
              <m:e>
                <m:r>
                  <m:t>p</m:t>
                </m:r>
              </m:e>
              <m:sub>
                <m:r>
                  <m:t>i</m:t>
                </m:r>
              </m:sub>
            </m:sSub>
          </m:sub>
        </m:sSub>
        <m:r>
          <m:rPr>
            <m:sty m:val="p"/>
          </m:rPr>
          <m:t>=</m:t>
        </m:r>
        <m:r>
          <m:rPr>
            <m:sty m:val="p"/>
          </m:rPr>
          <m:t>∫</m:t>
        </m:r>
        <m:r>
          <m:rPr>
            <m:sty m:val="p"/>
          </m:rPr>
          <m:t>[</m:t>
        </m:r>
        <m:sSubSup>
          <m:e>
            <m:r>
              <m:t>p</m:t>
            </m:r>
          </m:e>
          <m:sub>
            <m:r>
              <m:t>i</m:t>
            </m:r>
          </m:sub>
          <m:sup>
            <m:r>
              <m:rPr>
                <m:sty m:val="p"/>
              </m:rPr>
              <m:t>′</m:t>
            </m:r>
          </m:sup>
        </m:sSubSup>
        <m:r>
          <m:rPr>
            <m:sty m:val="p"/>
          </m:rPr>
          <m:t>(</m:t>
        </m:r>
        <m:r>
          <m:t>z</m:t>
        </m:r>
        <m:r>
          <m:rPr>
            <m:sty m:val="p"/>
          </m:rPr>
          <m:t>)</m:t>
        </m:r>
        <m:r>
          <m:rPr>
            <m:sty m:val="p"/>
          </m:rPr>
          <m:t>/</m:t>
        </m:r>
        <m:sSub>
          <m:e>
            <m:r>
              <m:t>p</m:t>
            </m:r>
          </m:e>
          <m:sub>
            <m:r>
              <m:t>i</m:t>
            </m:r>
          </m:sub>
        </m:sSub>
        <m:r>
          <m:rPr>
            <m:sty m:val="p"/>
          </m:rPr>
          <m:t>(</m:t>
        </m:r>
        <m:r>
          <m:t>z</m:t>
        </m:r>
        <m:r>
          <m:rPr>
            <m:sty m:val="p"/>
          </m:rPr>
          <m:t>)</m:t>
        </m:r>
        <m:sSup>
          <m:e>
            <m:r>
              <m:rPr>
                <m:sty m:val="p"/>
              </m:rPr>
              <m:t>]</m:t>
            </m:r>
          </m:e>
          <m:sup>
            <m:r>
              <m:t>2</m:t>
            </m:r>
          </m:sup>
        </m:sSup>
        <m:sSub>
          <m:e>
            <m:r>
              <m:t>p</m:t>
            </m:r>
          </m:e>
          <m:sub>
            <m:r>
              <m:t>i</m:t>
            </m:r>
          </m:sub>
        </m:sSub>
        <m:r>
          <m:rPr>
            <m:sty m:val="p"/>
          </m:rPr>
          <m:t>(</m:t>
        </m:r>
        <m:r>
          <m:t>z</m:t>
        </m:r>
        <m:r>
          <m:rPr>
            <m:sty m:val="p"/>
          </m:rPr>
          <m:t>)</m:t>
        </m:r>
        <m:r>
          <m:t> </m:t>
        </m:r>
        <m:r>
          <m:t>d</m:t>
        </m:r>
        <m:r>
          <m:t>z</m:t>
        </m:r>
        <m:r>
          <m:rPr>
            <m:sty m:val="p"/>
          </m:rPr>
          <m:t>&lt;</m:t>
        </m:r>
        <m:r>
          <m:rPr>
            <m:sty m:val="p"/>
          </m:rPr>
          <m:t>∞</m:t>
        </m:r>
      </m:oMath>
      <w:r>
        <w:t xml:space="preserve">, and</w:t>
      </w:r>
      <w:r>
        <w:t xml:space="preserve"> </w:t>
      </w:r>
      <m:oMath>
        <m:sSub>
          <m:e>
            <m:r>
              <m:t>σ</m:t>
            </m:r>
          </m:e>
          <m:sub>
            <m:r>
              <m:t>i</m:t>
            </m:r>
          </m:sub>
        </m:sSub>
        <m:r>
          <m:rPr>
            <m:sty m:val="p"/>
          </m:rPr>
          <m:t>&gt;</m:t>
        </m:r>
        <m:r>
          <m:t>0</m:t>
        </m:r>
      </m:oMath>
      <w:r>
        <w:t xml:space="preserve"> </w:t>
      </w:r>
      <w:r>
        <w:t xml:space="preserve">is a noise scale. The parameter</w:t>
      </w:r>
      <w:r>
        <w:t xml:space="preserve"> </w:t>
      </w:r>
      <m:oMath>
        <m:sSub>
          <m:e>
            <m:r>
              <m:t>θ</m:t>
            </m:r>
          </m:e>
          <m:sub>
            <m:r>
              <m:t>i</m:t>
            </m:r>
          </m:sub>
        </m:sSub>
      </m:oMath>
      <w:r>
        <w:t xml:space="preserve"> </w:t>
      </w:r>
      <w:r>
        <w:t xml:space="preserve">is the</w:t>
      </w:r>
      <w:r>
        <w:t xml:space="preserve"> </w:t>
      </w:r>
      <w:r>
        <w:rPr>
          <w:i/>
          <w:iCs/>
        </w:rPr>
        <w:t xml:space="preserve">dimension value</w:t>
      </w:r>
      <w:r>
        <w:t xml:space="preserve"> </w:t>
      </w:r>
      <w:r>
        <w:t xml:space="preserve">(the raw level of that dimension), and</w:t>
      </w:r>
      <w:r>
        <w:t xml:space="preserve"> </w:t>
      </w:r>
      <m:oMath>
        <m:sSub>
          <m:e>
            <m:r>
              <m:t>q</m:t>
            </m:r>
          </m:e>
          <m:sub>
            <m:r>
              <m:t>i</m:t>
            </m:r>
          </m:sub>
        </m:sSub>
      </m:oMath>
      <w:r>
        <w:t xml:space="preserve"> </w:t>
      </w:r>
      <w:r>
        <w:t xml:space="preserve">is the</w:t>
      </w:r>
      <w:r>
        <w:t xml:space="preserve"> </w:t>
      </w:r>
      <w:r>
        <w:rPr>
          <w:i/>
          <w:iCs/>
        </w:rPr>
        <w:t xml:space="preserve">response order</w:t>
      </w:r>
      <w:r>
        <w:t xml:space="preserve"> </w:t>
      </w:r>
      <w:r>
        <w:t xml:space="preserve">(how nonlinearly the signal depends on the dimension value).</w:t>
      </w:r>
    </w:p>
    <w:bookmarkEnd w:id="21"/>
    <w:bookmarkStart w:id="23" w:name="fisher-information"/>
    <w:p>
      <w:pPr>
        <w:pStyle w:val="Heading2"/>
      </w:pPr>
      <w:r>
        <w:t xml:space="preserve">Fisher information</w:t>
      </w:r>
    </w:p>
    <w:bookmarkStart w:id="22" w:name="prop:fisher"/>
    <w:p>
      <w:pPr>
        <w:pStyle w:val="FirstParagraph"/>
      </w:pPr>
      <w:r>
        <w:rPr>
          <w:b/>
          <w:bCs/>
        </w:rPr>
        <w:t xml:space="preserve">Proposition 6</w:t>
      </w:r>
      <w:r>
        <w:t xml:space="preserve">.</w:t>
      </w:r>
      <w:r>
        <w:t xml:space="preserve"> </w:t>
      </w:r>
      <w:r>
        <w:t xml:space="preserve"> </w:t>
      </w:r>
      <w:r>
        <w:rPr>
          <w:i/>
          <w:iCs/>
        </w:rPr>
        <w:t xml:space="preserve">Under model</w:t>
      </w:r>
      <w:r>
        <w:rPr>
          <w:i/>
          <w:iCs/>
        </w:rPr>
        <w:t xml:space="preserve"> </w:t>
      </w:r>
      <w:hyperlink w:anchor="eq:channel">
        <w:r>
          <w:rPr>
            <w:rStyle w:val="Hyperlink"/>
            <w:i/>
            <w:iCs/>
          </w:rPr>
          <w:t xml:space="preserve">[eq:channel]</w:t>
        </w:r>
      </w:hyperlink>
      <w:r>
        <w:rPr>
          <w:i/>
          <w:iCs/>
        </w:rPr>
        <w:t xml:space="preserve">, the Fisher information for</w:t>
      </w:r>
      <w:r>
        <w:rPr>
          <w:i/>
          <w:iCs/>
        </w:rPr>
        <w:t xml:space="preserve"> </w:t>
      </w:r>
      <m:oMath>
        <m:sSub>
          <m:e>
            <m:r>
              <m:t>θ</m:t>
            </m:r>
          </m:e>
          <m:sub>
            <m:r>
              <m:t>i</m:t>
            </m:r>
          </m:sub>
        </m:sSub>
      </m:oMath>
      <w:r>
        <w:rPr>
          <w:i/>
          <w:iCs/>
        </w:rPr>
        <w:t xml:space="preserve"> </w:t>
      </w:r>
      <w:r>
        <w:rPr>
          <w:i/>
          <w:iCs/>
        </w:rPr>
        <w:t xml:space="preserve">is:</w:t>
      </w:r>
      <w:r>
        <w:rPr>
          <w:i/>
          <w:iCs/>
        </w:rPr>
        <w:t xml:space="preserve"> </w:t>
      </w:r>
      <m:oMathPara>
        <m:oMathParaPr>
          <m:jc m:val="center"/>
        </m:oMathParaPr>
        <m:oMath>
          <m:sSub>
            <m:e>
              <m:r>
                <m:t>g</m:t>
              </m:r>
            </m:e>
            <m:sub>
              <m:r>
                <m:t>i</m:t>
              </m:r>
              <m:r>
                <m:t>i</m:t>
              </m:r>
            </m:sub>
          </m:sSub>
          <m:r>
            <m:rPr>
              <m:sty m:val="p"/>
            </m:rPr>
            <m:t>(</m:t>
          </m:r>
          <m:sSub>
            <m:e>
              <m:r>
                <m:t>θ</m:t>
              </m:r>
            </m:e>
            <m:sub>
              <m:r>
                <m:t>i</m:t>
              </m:r>
            </m:sub>
          </m:sSub>
          <m:r>
            <m:rPr>
              <m:sty m:val="p"/>
            </m:rPr>
            <m:t>)</m:t>
          </m:r>
          <m:r>
            <m:rPr>
              <m:sty m:val="p"/>
            </m:rPr>
            <m:t>=</m:t>
          </m:r>
          <m:f>
            <m:fPr>
              <m:type m:val="bar"/>
            </m:fPr>
            <m:num>
              <m:sSub>
                <m:e>
                  <m:r>
                    <m:t>I</m:t>
                  </m:r>
                </m:e>
                <m:sub>
                  <m:sSub>
                    <m:e>
                      <m:r>
                        <m:t>p</m:t>
                      </m:r>
                    </m:e>
                    <m:sub>
                      <m:r>
                        <m:t>i</m:t>
                      </m:r>
                    </m:sub>
                  </m:sSub>
                </m:sub>
              </m:sSub>
            </m:num>
            <m:den>
              <m:sSubSup>
                <m:e>
                  <m:r>
                    <m:t>σ</m:t>
                  </m:r>
                </m:e>
                <m:sub>
                  <m:r>
                    <m:t>i</m:t>
                  </m:r>
                </m:sub>
                <m:sup>
                  <m:r>
                    <m:t>2</m:t>
                  </m:r>
                </m:sup>
              </m:sSubSup>
            </m:den>
          </m:f>
          <m:r>
            <m:t> </m:t>
          </m:r>
          <m:sSubSup>
            <m:e>
              <m:r>
                <m:t>q</m:t>
              </m:r>
            </m:e>
            <m:sub>
              <m:r>
                <m:t>i</m:t>
              </m:r>
            </m:sub>
            <m:sup>
              <m:r>
                <m:t>2</m:t>
              </m:r>
            </m:sup>
          </m:sSubSup>
          <m:r>
            <m:t> </m:t>
          </m:r>
          <m:sSubSup>
            <m:e>
              <m:r>
                <m:t>θ</m:t>
              </m:r>
            </m:e>
            <m:sub>
              <m:r>
                <m:t>i</m:t>
              </m:r>
            </m:sub>
            <m:sup>
              <m:r>
                <m:t>2</m:t>
              </m:r>
              <m:r>
                <m:rPr>
                  <m:sty m:val="p"/>
                </m:rPr>
                <m:t>(</m:t>
              </m:r>
              <m:sSub>
                <m:e>
                  <m:r>
                    <m:t>q</m:t>
                  </m:r>
                </m:e>
                <m:sub>
                  <m:r>
                    <m:t>i</m:t>
                  </m:r>
                </m:sub>
              </m:sSub>
              <m:r>
                <m:rPr>
                  <m:sty m:val="p"/>
                </m:rPr>
                <m:t>−</m:t>
              </m:r>
              <m:r>
                <m:t>1</m:t>
              </m:r>
              <m:r>
                <m:rPr>
                  <m:sty m:val="p"/>
                </m:rPr>
                <m:t>)</m:t>
              </m:r>
            </m:sup>
          </m:sSubSup>
          <m:r>
            <m:rPr>
              <m:sty m:val="p"/>
            </m:rPr>
            <m:t>.</m:t>
          </m:r>
        </m:oMath>
      </m:oMathPara>
    </w:p>
    <w:bookmarkEnd w:id="22"/>
    <w:p>
      <w:pPr>
        <w:pStyle w:val="FirstParagraph"/>
      </w:pPr>
      <w:r>
        <w:rPr>
          <w:i/>
          <w:iCs/>
        </w:rPr>
        <w:t xml:space="preserve">Proof.</w:t>
      </w:r>
      <w:r>
        <w:t xml:space="preserve"> </w:t>
      </w:r>
      <w:r>
        <w:t xml:space="preserve">The log-likelihood for a single observation is</w:t>
      </w:r>
      <w:r>
        <w:t xml:space="preserve"> </w:t>
      </w:r>
      <m:oMath>
        <m:sSub>
          <m:e>
            <m:r>
              <m:t>ℓ</m:t>
            </m:r>
          </m:e>
          <m:sub>
            <m:r>
              <m:t>i</m:t>
            </m:r>
          </m:sub>
        </m:sSub>
        <m:r>
          <m:rPr>
            <m:sty m:val="p"/>
          </m:rPr>
          <m:t>=</m:t>
        </m:r>
        <m:r>
          <m:rPr>
            <m:sty m:val="p"/>
          </m:rPr>
          <m:t>log</m:t>
        </m:r>
        <m:sSub>
          <m:e>
            <m:r>
              <m:t>p</m:t>
            </m:r>
          </m:e>
          <m:sub>
            <m:r>
              <m:t>i</m:t>
            </m:r>
          </m:sub>
        </m:sSub>
        <m:r>
          <m:rPr>
            <m:sty m:val="p"/>
          </m:rPr>
          <m:t>(</m:t>
        </m:r>
        <m:r>
          <m:rPr>
            <m:sty m:val="p"/>
          </m:rPr>
          <m:t>(</m:t>
        </m:r>
        <m:sSub>
          <m:e>
            <m:r>
              <m:t>y</m:t>
            </m:r>
          </m:e>
          <m:sub>
            <m:r>
              <m:t>i</m:t>
            </m:r>
          </m:sub>
        </m:sSub>
        <m:r>
          <m:rPr>
            <m:sty m:val="p"/>
          </m:rPr>
          <m:t>−</m:t>
        </m:r>
        <m:sSubSup>
          <m:e>
            <m:r>
              <m:t>θ</m:t>
            </m:r>
          </m:e>
          <m:sub>
            <m:r>
              <m:t>i</m:t>
            </m:r>
          </m:sub>
          <m:sup>
            <m:sSub>
              <m:e>
                <m:r>
                  <m:t>q</m:t>
                </m:r>
              </m:e>
              <m:sub>
                <m:r>
                  <m:t>i</m:t>
                </m:r>
              </m:sub>
            </m:sSub>
          </m:sup>
        </m:sSubSup>
        <m:r>
          <m:rPr>
            <m:sty m:val="p"/>
          </m:rPr>
          <m:t>)</m:t>
        </m:r>
        <m:r>
          <m:rPr>
            <m:sty m:val="p"/>
          </m:rPr>
          <m:t>/</m:t>
        </m:r>
        <m:sSub>
          <m:e>
            <m:r>
              <m:t>σ</m:t>
            </m:r>
          </m:e>
          <m:sub>
            <m:r>
              <m:t>i</m:t>
            </m:r>
          </m:sub>
        </m:sSub>
        <m:r>
          <m:rPr>
            <m:sty m:val="p"/>
          </m:rPr>
          <m:t>)</m:t>
        </m:r>
        <m:r>
          <m:rPr>
            <m:sty m:val="p"/>
          </m:rPr>
          <m:t>−</m:t>
        </m:r>
        <m:r>
          <m:rPr>
            <m:sty m:val="p"/>
          </m:rPr>
          <m:t>log</m:t>
        </m:r>
        <m:sSub>
          <m:e>
            <m:r>
              <m:t>σ</m:t>
            </m:r>
          </m:e>
          <m:sub>
            <m:r>
              <m:t>i</m:t>
            </m:r>
          </m:sub>
        </m:sSub>
      </m:oMath>
      <w:r>
        <w:t xml:space="preserve">. Differentiating:</w:t>
      </w:r>
    </w:p>
    <w:p>
      <w:pPr>
        <w:pStyle w:val="BodyText"/>
      </w:pPr>
      <m:oMathPara>
        <m:oMathParaPr>
          <m:jc m:val="center"/>
        </m:oMathParaPr>
        <m:oMath>
          <m:f>
            <m:fPr>
              <m:type m:val="bar"/>
            </m:fPr>
            <m:num>
              <m:r>
                <m:rPr>
                  <m:sty m:val="p"/>
                </m:rPr>
                <m:t>∂</m:t>
              </m:r>
              <m:sSub>
                <m:e>
                  <m:r>
                    <m:t>ℓ</m:t>
                  </m:r>
                </m:e>
                <m:sub>
                  <m:r>
                    <m:t>i</m:t>
                  </m:r>
                </m:sub>
              </m:sSub>
            </m:num>
            <m:den>
              <m:r>
                <m:rPr>
                  <m:sty m:val="p"/>
                </m:rPr>
                <m:t>∂</m:t>
              </m:r>
              <m:sSub>
                <m:e>
                  <m:r>
                    <m:t>θ</m:t>
                  </m:r>
                </m:e>
                <m:sub>
                  <m:r>
                    <m:t>i</m:t>
                  </m:r>
                </m:sub>
              </m:sSub>
            </m:den>
          </m:f>
          <m:r>
            <m:rPr>
              <m:sty m:val="p"/>
            </m:rPr>
            <m:t>=</m:t>
          </m:r>
          <m:f>
            <m:fPr>
              <m:type m:val="bar"/>
            </m:fPr>
            <m:num>
              <m:r>
                <m:t>1</m:t>
              </m:r>
            </m:num>
            <m:den>
              <m:sSub>
                <m:e>
                  <m:r>
                    <m:t>σ</m:t>
                  </m:r>
                </m:e>
                <m:sub>
                  <m:r>
                    <m:t>i</m:t>
                  </m:r>
                </m:sub>
              </m:sSub>
            </m:den>
          </m:f>
          <m:f>
            <m:fPr>
              <m:type m:val="bar"/>
            </m:fPr>
            <m:num>
              <m:sSubSup>
                <m:e>
                  <m:r>
                    <m:t>p</m:t>
                  </m:r>
                </m:e>
                <m:sub>
                  <m:r>
                    <m:t>i</m:t>
                  </m:r>
                </m:sub>
                <m:sup>
                  <m:r>
                    <m:rPr>
                      <m:sty m:val="p"/>
                    </m:rPr>
                    <m:t>′</m:t>
                  </m:r>
                </m:sup>
              </m:sSubSup>
              <m:r>
                <m:rPr>
                  <m:sty m:val="p"/>
                </m:rPr>
                <m:t>(</m:t>
              </m:r>
              <m:sSub>
                <m:e>
                  <m:r>
                    <m:t>z</m:t>
                  </m:r>
                </m:e>
                <m:sub>
                  <m:r>
                    <m:t>i</m:t>
                  </m:r>
                </m:sub>
              </m:sSub>
              <m:r>
                <m:rPr>
                  <m:sty m:val="p"/>
                </m:rPr>
                <m:t>)</m:t>
              </m:r>
            </m:num>
            <m:den>
              <m:sSub>
                <m:e>
                  <m:r>
                    <m:t>p</m:t>
                  </m:r>
                </m:e>
                <m:sub>
                  <m:r>
                    <m:t>i</m:t>
                  </m:r>
                </m:sub>
              </m:sSub>
              <m:r>
                <m:rPr>
                  <m:sty m:val="p"/>
                </m:rPr>
                <m:t>(</m:t>
              </m:r>
              <m:sSub>
                <m:e>
                  <m:r>
                    <m:t>z</m:t>
                  </m:r>
                </m:e>
                <m:sub>
                  <m:r>
                    <m:t>i</m:t>
                  </m:r>
                </m:sub>
              </m:sSub>
              <m:r>
                <m:rPr>
                  <m:sty m:val="p"/>
                </m:rPr>
                <m:t>)</m:t>
              </m:r>
            </m:den>
          </m:f>
          <m:r>
            <m:rPr>
              <m:sty m:val="p"/>
            </m:rPr>
            <m:t>⋅</m:t>
          </m:r>
          <m:sSub>
            <m:e>
              <m:r>
                <m:t>q</m:t>
              </m:r>
            </m:e>
            <m:sub>
              <m:r>
                <m:t>i</m:t>
              </m:r>
            </m:sub>
          </m:sSub>
          <m:sSubSup>
            <m:e>
              <m:r>
                <m:t>θ</m:t>
              </m:r>
            </m:e>
            <m:sub>
              <m:r>
                <m:t>i</m:t>
              </m:r>
            </m:sub>
            <m:sup>
              <m:sSub>
                <m:e>
                  <m:r>
                    <m:t>q</m:t>
                  </m:r>
                </m:e>
                <m:sub>
                  <m:r>
                    <m:t>i</m:t>
                  </m:r>
                </m:sub>
              </m:sSub>
              <m:r>
                <m:rPr>
                  <m:sty m:val="p"/>
                </m:rPr>
                <m:t>−</m:t>
              </m:r>
              <m:r>
                <m:t>1</m:t>
              </m:r>
            </m:sup>
          </m:sSubSup>
          <m:r>
            <m:rPr>
              <m:sty m:val="p"/>
            </m:rPr>
            <m:t>,</m:t>
          </m:r>
          <m:r>
            <m:t> </m:t>
          </m:r>
          <m:sSub>
            <m:e>
              <m:r>
                <m:t>z</m:t>
              </m:r>
            </m:e>
            <m:sub>
              <m:r>
                <m:t>i</m:t>
              </m:r>
            </m:sub>
          </m:sSub>
          <m:r>
            <m:rPr>
              <m:sty m:val="p"/>
            </m:rPr>
            <m:t>=</m:t>
          </m:r>
          <m:f>
            <m:fPr>
              <m:type m:val="bar"/>
            </m:fPr>
            <m:num>
              <m:sSub>
                <m:e>
                  <m:r>
                    <m:t>y</m:t>
                  </m:r>
                </m:e>
                <m:sub>
                  <m:r>
                    <m:t>i</m:t>
                  </m:r>
                </m:sub>
              </m:sSub>
              <m:r>
                <m:rPr>
                  <m:sty m:val="p"/>
                </m:rPr>
                <m:t>−</m:t>
              </m:r>
              <m:sSubSup>
                <m:e>
                  <m:r>
                    <m:t>θ</m:t>
                  </m:r>
                </m:e>
                <m:sub>
                  <m:r>
                    <m:t>i</m:t>
                  </m:r>
                </m:sub>
                <m:sup>
                  <m:sSub>
                    <m:e>
                      <m:r>
                        <m:t>q</m:t>
                      </m:r>
                    </m:e>
                    <m:sub>
                      <m:r>
                        <m:t>i</m:t>
                      </m:r>
                    </m:sub>
                  </m:sSub>
                </m:sup>
              </m:sSubSup>
            </m:num>
            <m:den>
              <m:sSub>
                <m:e>
                  <m:r>
                    <m:t>σ</m:t>
                  </m:r>
                </m:e>
                <m:sub>
                  <m:r>
                    <m:t>i</m:t>
                  </m:r>
                </m:sub>
              </m:sSub>
            </m:den>
          </m:f>
          <m:r>
            <m:rPr>
              <m:sty m:val="p"/>
            </m:rPr>
            <m:t>.</m:t>
          </m:r>
        </m:oMath>
      </m:oMathPara>
    </w:p>
    <w:p>
      <w:pPr>
        <w:pStyle w:val="FirstParagraph"/>
      </w:pPr>
      <w:r>
        <w:t xml:space="preserve">Taking the expectation of the square:</w:t>
      </w:r>
    </w:p>
    <w:p>
      <w:pPr>
        <w:pStyle w:val="BodyText"/>
      </w:pPr>
      <m:oMathPara>
        <m:oMathParaPr>
          <m:jc m:val="center"/>
        </m:oMathParaPr>
        <m:oMath>
          <m:sSub>
            <m:e>
              <m:r>
                <m:t>g</m:t>
              </m:r>
            </m:e>
            <m:sub>
              <m:r>
                <m:t>i</m:t>
              </m:r>
              <m:r>
                <m:t>i</m:t>
              </m:r>
            </m:sub>
          </m:sSub>
          <m:r>
            <m:rPr>
              <m:sty m:val="p"/>
            </m:rPr>
            <m:t>(</m:t>
          </m:r>
          <m:sSub>
            <m:e>
              <m:r>
                <m:t>θ</m:t>
              </m:r>
            </m:e>
            <m:sub>
              <m:r>
                <m:t>i</m:t>
              </m:r>
            </m:sub>
          </m:sSub>
          <m:r>
            <m:rPr>
              <m:sty m:val="p"/>
            </m:rPr>
            <m:t>)</m:t>
          </m:r>
          <m:r>
            <m:rPr>
              <m:sty m:val="p"/>
            </m:rPr>
            <m:t>=</m:t>
          </m:r>
          <m:r>
            <m:rPr>
              <m:sty m:val="p"/>
            </m:rPr>
            <m:t>E</m:t>
          </m:r>
          <m:r>
            <m:t>​</m:t>
          </m:r>
          <m:d>
            <m:dPr>
              <m:begChr m:val="["/>
              <m:sepChr m:val=""/>
              <m:endChr m:val="]"/>
              <m:grow/>
            </m:dPr>
            <m:e>
              <m:sSup>
                <m:e>
                  <m:d>
                    <m:dPr>
                      <m:begChr m:val="("/>
                      <m:sepChr m:val=""/>
                      <m:endChr m:val=")"/>
                      <m:grow/>
                    </m:dPr>
                    <m:e>
                      <m:f>
                        <m:fPr>
                          <m:type m:val="bar"/>
                        </m:fPr>
                        <m:num>
                          <m:r>
                            <m:rPr>
                              <m:sty m:val="p"/>
                            </m:rPr>
                            <m:t>∂</m:t>
                          </m:r>
                          <m:sSub>
                            <m:e>
                              <m:r>
                                <m:t>ℓ</m:t>
                              </m:r>
                            </m:e>
                            <m:sub>
                              <m:r>
                                <m:t>i</m:t>
                              </m:r>
                            </m:sub>
                          </m:sSub>
                        </m:num>
                        <m:den>
                          <m:r>
                            <m:rPr>
                              <m:sty m:val="p"/>
                            </m:rPr>
                            <m:t>∂</m:t>
                          </m:r>
                          <m:sSub>
                            <m:e>
                              <m:r>
                                <m:t>θ</m:t>
                              </m:r>
                            </m:e>
                            <m:sub>
                              <m:r>
                                <m:t>i</m:t>
                              </m:r>
                            </m:sub>
                          </m:sSub>
                        </m:den>
                      </m:f>
                    </m:e>
                  </m:d>
                </m:e>
                <m:sup>
                  <m:r>
                    <m:t>2</m:t>
                  </m:r>
                </m:sup>
              </m:sSup>
            </m:e>
          </m:d>
          <m:r>
            <m:rPr>
              <m:sty m:val="p"/>
            </m:rPr>
            <m:t>=</m:t>
          </m:r>
          <m:f>
            <m:fPr>
              <m:type m:val="bar"/>
            </m:fPr>
            <m:num>
              <m:sSubSup>
                <m:e>
                  <m:r>
                    <m:t>q</m:t>
                  </m:r>
                </m:e>
                <m:sub>
                  <m:r>
                    <m:t>i</m:t>
                  </m:r>
                </m:sub>
                <m:sup>
                  <m:r>
                    <m:t>2</m:t>
                  </m:r>
                </m:sup>
              </m:sSubSup>
              <m:sSubSup>
                <m:e>
                  <m:r>
                    <m:t>θ</m:t>
                  </m:r>
                </m:e>
                <m:sub>
                  <m:r>
                    <m:t>i</m:t>
                  </m:r>
                </m:sub>
                <m:sup>
                  <m:r>
                    <m:t>2</m:t>
                  </m:r>
                  <m:r>
                    <m:rPr>
                      <m:sty m:val="p"/>
                    </m:rPr>
                    <m:t>(</m:t>
                  </m:r>
                  <m:sSub>
                    <m:e>
                      <m:r>
                        <m:t>q</m:t>
                      </m:r>
                    </m:e>
                    <m:sub>
                      <m:r>
                        <m:t>i</m:t>
                      </m:r>
                    </m:sub>
                  </m:sSub>
                  <m:r>
                    <m:rPr>
                      <m:sty m:val="p"/>
                    </m:rPr>
                    <m:t>−</m:t>
                  </m:r>
                  <m:r>
                    <m:t>1</m:t>
                  </m:r>
                  <m:r>
                    <m:rPr>
                      <m:sty m:val="p"/>
                    </m:rPr>
                    <m:t>)</m:t>
                  </m:r>
                </m:sup>
              </m:sSubSup>
            </m:num>
            <m:den>
              <m:sSubSup>
                <m:e>
                  <m:r>
                    <m:t>σ</m:t>
                  </m:r>
                </m:e>
                <m:sub>
                  <m:r>
                    <m:t>i</m:t>
                  </m:r>
                </m:sub>
                <m:sup>
                  <m:r>
                    <m:t>2</m:t>
                  </m:r>
                </m:sup>
              </m:sSubSup>
            </m:den>
          </m:f>
          <m:r>
            <m:rPr>
              <m:sty m:val="p"/>
            </m:rPr>
            <m:t>⋅</m:t>
          </m:r>
          <m:r>
            <m:rPr>
              <m:sty m:val="p"/>
            </m:rPr>
            <m:t>E</m:t>
          </m:r>
          <m:r>
            <m:t>​</m:t>
          </m:r>
          <m:d>
            <m:dPr>
              <m:begChr m:val="["/>
              <m:sepChr m:val=""/>
              <m:endChr m:val="]"/>
              <m:grow/>
            </m:dPr>
            <m:e>
              <m:sSup>
                <m:e>
                  <m:d>
                    <m:dPr>
                      <m:begChr m:val="("/>
                      <m:sepChr m:val=""/>
                      <m:endChr m:val=")"/>
                      <m:grow/>
                    </m:dPr>
                    <m:e>
                      <m:f>
                        <m:fPr>
                          <m:type m:val="bar"/>
                        </m:fPr>
                        <m:num>
                          <m:sSubSup>
                            <m:e>
                              <m:r>
                                <m:t>p</m:t>
                              </m:r>
                            </m:e>
                            <m:sub>
                              <m:r>
                                <m:t>i</m:t>
                              </m:r>
                            </m:sub>
                            <m:sup>
                              <m:r>
                                <m:rPr>
                                  <m:sty m:val="p"/>
                                </m:rPr>
                                <m:t>′</m:t>
                              </m:r>
                            </m:sup>
                          </m:sSubSup>
                          <m:r>
                            <m:rPr>
                              <m:sty m:val="p"/>
                            </m:rPr>
                            <m:t>(</m:t>
                          </m:r>
                          <m:r>
                            <m:t>Z</m:t>
                          </m:r>
                          <m:r>
                            <m:rPr>
                              <m:sty m:val="p"/>
                            </m:rPr>
                            <m:t>)</m:t>
                          </m:r>
                        </m:num>
                        <m:den>
                          <m:sSub>
                            <m:e>
                              <m:r>
                                <m:t>p</m:t>
                              </m:r>
                            </m:e>
                            <m:sub>
                              <m:r>
                                <m:t>i</m:t>
                              </m:r>
                            </m:sub>
                          </m:sSub>
                          <m:r>
                            <m:rPr>
                              <m:sty m:val="p"/>
                            </m:rPr>
                            <m:t>(</m:t>
                          </m:r>
                          <m:r>
                            <m:t>Z</m:t>
                          </m:r>
                          <m:r>
                            <m:rPr>
                              <m:sty m:val="p"/>
                            </m:rPr>
                            <m:t>)</m:t>
                          </m:r>
                        </m:den>
                      </m:f>
                    </m:e>
                  </m:d>
                </m:e>
                <m:sup>
                  <m:r>
                    <m:t>2</m:t>
                  </m:r>
                </m:sup>
              </m:sSup>
            </m:e>
          </m:d>
          <m:r>
            <m:rPr>
              <m:sty m:val="p"/>
            </m:rPr>
            <m:t>=</m:t>
          </m:r>
          <m:f>
            <m:fPr>
              <m:type m:val="bar"/>
            </m:fPr>
            <m:num>
              <m:sSub>
                <m:e>
                  <m:r>
                    <m:t>I</m:t>
                  </m:r>
                </m:e>
                <m:sub>
                  <m:sSub>
                    <m:e>
                      <m:r>
                        <m:t>p</m:t>
                      </m:r>
                    </m:e>
                    <m:sub>
                      <m:r>
                        <m:t>i</m:t>
                      </m:r>
                    </m:sub>
                  </m:sSub>
                </m:sub>
              </m:sSub>
              <m:r>
                <m:t> </m:t>
              </m:r>
              <m:sSubSup>
                <m:e>
                  <m:r>
                    <m:t>q</m:t>
                  </m:r>
                </m:e>
                <m:sub>
                  <m:r>
                    <m:t>i</m:t>
                  </m:r>
                </m:sub>
                <m:sup>
                  <m:r>
                    <m:t>2</m:t>
                  </m:r>
                </m:sup>
              </m:sSubSup>
            </m:num>
            <m:den>
              <m:sSubSup>
                <m:e>
                  <m:r>
                    <m:t>σ</m:t>
                  </m:r>
                </m:e>
                <m:sub>
                  <m:r>
                    <m:t>i</m:t>
                  </m:r>
                </m:sub>
                <m:sup>
                  <m:r>
                    <m:t>2</m:t>
                  </m:r>
                </m:sup>
              </m:sSubSup>
            </m:den>
          </m:f>
          <m:r>
            <m:t> </m:t>
          </m:r>
          <m:sSubSup>
            <m:e>
              <m:r>
                <m:t>θ</m:t>
              </m:r>
            </m:e>
            <m:sub>
              <m:r>
                <m:t>i</m:t>
              </m:r>
            </m:sub>
            <m:sup>
              <m:r>
                <m:t>2</m:t>
              </m:r>
              <m:r>
                <m:rPr>
                  <m:sty m:val="p"/>
                </m:rPr>
                <m:t>(</m:t>
              </m:r>
              <m:sSub>
                <m:e>
                  <m:r>
                    <m:t>q</m:t>
                  </m:r>
                </m:e>
                <m:sub>
                  <m:r>
                    <m:t>i</m:t>
                  </m:r>
                </m:sub>
              </m:sSub>
              <m:r>
                <m:rPr>
                  <m:sty m:val="p"/>
                </m:rPr>
                <m:t>−</m:t>
              </m:r>
              <m:r>
                <m:t>1</m:t>
              </m:r>
              <m:r>
                <m:rPr>
                  <m:sty m:val="p"/>
                </m:rPr>
                <m:t>)</m:t>
              </m:r>
            </m:sup>
          </m:sSubSup>
          <m:r>
            <m:rPr>
              <m:sty m:val="p"/>
            </m:rPr>
            <m:t>.</m:t>
          </m:r>
        </m:oMath>
      </m:oMathPara>
    </w:p>
    <w:p>
      <w:pPr>
        <w:pStyle w:val="FirstParagraph"/>
      </w:pPr>
      <w:r>
        <w:t xml:space="preserve"> ◻</w:t>
      </w:r>
    </w:p>
    <w:bookmarkEnd w:id="23"/>
    <w:bookmarkStart w:id="24" w:name="Xc448ba17d4b407ec890044891de2a8eaaf868d9"/>
    <w:p>
      <w:pPr>
        <w:pStyle w:val="Heading2"/>
      </w:pPr>
      <w:r>
        <w:t xml:space="preserve">Recovery of the multiplicative composition law</w:t>
      </w:r>
    </w:p>
    <w:p>
      <w:pPr>
        <w:pStyle w:val="FirstParagraph"/>
      </w:pPr>
      <w:r>
        <w:t xml:space="preserve">Setting</w:t>
      </w:r>
      <w:r>
        <w:t xml:space="preserve"> </w:t>
      </w:r>
      <m:oMath>
        <m:sSub>
          <m:e>
            <m:r>
              <m:t>c</m:t>
            </m:r>
          </m:e>
          <m:sub>
            <m:r>
              <m:t>i</m:t>
            </m:r>
          </m:sub>
        </m:sSub>
        <m:r>
          <m:rPr>
            <m:sty m:val="p"/>
          </m:rPr>
          <m:t>=</m:t>
        </m:r>
        <m:sSub>
          <m:e>
            <m:r>
              <m:t>I</m:t>
            </m:r>
          </m:e>
          <m:sub>
            <m:sSub>
              <m:e>
                <m:r>
                  <m:t>p</m:t>
                </m:r>
              </m:e>
              <m:sub>
                <m:r>
                  <m:t>i</m:t>
                </m:r>
              </m:sub>
            </m:sSub>
          </m:sub>
        </m:sSub>
        <m:sSubSup>
          <m:e>
            <m:r>
              <m:t>q</m:t>
            </m:r>
          </m:e>
          <m:sub>
            <m:r>
              <m:t>i</m:t>
            </m:r>
          </m:sub>
          <m:sup>
            <m:r>
              <m:t>2</m:t>
            </m:r>
          </m:sup>
        </m:sSubSup>
        <m:r>
          <m:rPr>
            <m:sty m:val="p"/>
          </m:rPr>
          <m:t>/</m:t>
        </m:r>
        <m:sSubSup>
          <m:e>
            <m:r>
              <m:t>σ</m:t>
            </m:r>
          </m:e>
          <m:sub>
            <m:r>
              <m:t>i</m:t>
            </m:r>
          </m:sub>
          <m:sup>
            <m:r>
              <m:t>2</m:t>
            </m:r>
          </m:sup>
        </m:sSubSup>
      </m:oMath>
      <w:r>
        <w:t xml:space="preserve"> </w:t>
      </w:r>
      <w:r>
        <w:t xml:space="preserve">and</w:t>
      </w:r>
      <w:r>
        <w:t xml:space="preserve"> </w:t>
      </w:r>
      <m:oMath>
        <m:sSub>
          <m:e>
            <m:r>
              <m:t>α</m:t>
            </m:r>
          </m:e>
          <m:sub>
            <m:r>
              <m:t>i</m:t>
            </m:r>
          </m:sub>
        </m:sSub>
        <m:r>
          <m:rPr>
            <m:sty m:val="p"/>
          </m:rPr>
          <m:t>=</m:t>
        </m:r>
        <m:sSub>
          <m:e>
            <m:r>
              <m:t>q</m:t>
            </m:r>
          </m:e>
          <m:sub>
            <m:r>
              <m:t>i</m:t>
            </m:r>
          </m:sub>
        </m:sSub>
        <m:r>
          <m:rPr>
            <m:sty m:val="p"/>
          </m:rPr>
          <m:t>−</m:t>
        </m:r>
        <m:r>
          <m:t>1</m:t>
        </m:r>
      </m:oMath>
      <w:r>
        <w:t xml:space="preserve">:</w:t>
      </w:r>
    </w:p>
    <w:p>
      <w:pPr>
        <w:pStyle w:val="BodyText"/>
      </w:pPr>
      <m:oMathPara>
        <m:oMathParaPr>
          <m:jc m:val="center"/>
        </m:oMathParaPr>
        <m:oMath>
          <m:sSub>
            <m:e>
              <m:r>
                <m:t>g</m:t>
              </m:r>
            </m:e>
            <m:sub>
              <m:r>
                <m:t>i</m:t>
              </m:r>
              <m:r>
                <m:t>i</m:t>
              </m:r>
            </m:sub>
          </m:sSub>
          <m:r>
            <m:rPr>
              <m:sty m:val="p"/>
            </m:rPr>
            <m:t>(</m:t>
          </m:r>
          <m:sSub>
            <m:e>
              <m:r>
                <m:t>θ</m:t>
              </m:r>
            </m:e>
            <m:sub>
              <m:r>
                <m:t>i</m:t>
              </m:r>
            </m:sub>
          </m:sSub>
          <m:r>
            <m:rPr>
              <m:sty m:val="p"/>
            </m:rPr>
            <m:t>)</m:t>
          </m:r>
          <m:r>
            <m:rPr>
              <m:sty m:val="p"/>
            </m:rPr>
            <m:t>=</m:t>
          </m:r>
          <m:sSub>
            <m:e>
              <m:r>
                <m:t>c</m:t>
              </m:r>
            </m:e>
            <m:sub>
              <m:r>
                <m:t>i</m:t>
              </m:r>
            </m:sub>
          </m:sSub>
          <m:r>
            <m:t> </m:t>
          </m:r>
          <m:sSubSup>
            <m:e>
              <m:r>
                <m:t>θ</m:t>
              </m:r>
            </m:e>
            <m:sub>
              <m:r>
                <m:t>i</m:t>
              </m:r>
            </m:sub>
            <m:sup>
              <m:r>
                <m:t>2</m:t>
              </m:r>
              <m:sSub>
                <m:e>
                  <m:r>
                    <m:t>α</m:t>
                  </m:r>
                </m:e>
                <m:sub>
                  <m:r>
                    <m:t>i</m:t>
                  </m:r>
                </m:sub>
              </m:sSub>
            </m:sup>
          </m:sSubSup>
          <m:r>
            <m:rPr>
              <m:sty m:val="p"/>
            </m:rPr>
            <m:t>,</m:t>
          </m:r>
          <m:r>
            <m:t> </m:t>
          </m:r>
          <m:rad>
            <m:radPr>
              <m:degHide m:val="on"/>
            </m:radPr>
            <m:deg/>
            <m:e>
              <m:sSub>
                <m:e>
                  <m:r>
                    <m:t>g</m:t>
                  </m:r>
                </m:e>
                <m:sub>
                  <m:r>
                    <m:t>i</m:t>
                  </m:r>
                  <m:r>
                    <m:t>i</m:t>
                  </m:r>
                </m:sub>
              </m:sSub>
              <m:r>
                <m:rPr>
                  <m:sty m:val="p"/>
                </m:rPr>
                <m:t>(</m:t>
              </m:r>
              <m:sSub>
                <m:e>
                  <m:r>
                    <m:t>θ</m:t>
                  </m:r>
                </m:e>
                <m:sub>
                  <m:r>
                    <m:t>i</m:t>
                  </m:r>
                </m:sub>
              </m:sSub>
              <m:r>
                <m:rPr>
                  <m:sty m:val="p"/>
                </m:rPr>
                <m:t>)</m:t>
              </m:r>
            </m:e>
          </m:rad>
          <m:r>
            <m:rPr>
              <m:sty m:val="p"/>
            </m:rPr>
            <m:t>=</m:t>
          </m:r>
          <m:rad>
            <m:radPr>
              <m:degHide m:val="on"/>
            </m:radPr>
            <m:deg/>
            <m:e>
              <m:sSub>
                <m:e>
                  <m:r>
                    <m:t>c</m:t>
                  </m:r>
                </m:e>
                <m:sub>
                  <m:r>
                    <m:t>i</m:t>
                  </m:r>
                </m:sub>
              </m:sSub>
            </m:e>
          </m:rad>
          <m:r>
            <m:t> </m:t>
          </m:r>
          <m:sSubSup>
            <m:e>
              <m:r>
                <m:t>θ</m:t>
              </m:r>
            </m:e>
            <m:sub>
              <m:r>
                <m:t>i</m:t>
              </m:r>
            </m:sub>
            <m:sup>
              <m:sSub>
                <m:e>
                  <m:r>
                    <m:t>α</m:t>
                  </m:r>
                </m:e>
                <m:sub>
                  <m:r>
                    <m:t>i</m:t>
                  </m:r>
                </m:sub>
              </m:sSub>
            </m:sup>
          </m:sSubSup>
          <m:r>
            <m:rPr>
              <m:sty m:val="p"/>
            </m:rPr>
            <m:t>.</m:t>
          </m:r>
        </m:oMath>
      </m:oMathPara>
    </w:p>
    <w:p>
      <w:pPr>
        <w:pStyle w:val="FirstParagraph"/>
      </w:pPr>
      <w:r>
        <w:t xml:space="preserve">Applying Theorem </w:t>
      </w:r>
      <w:hyperlink w:anchor="thm:factor">
        <w:r>
          <w:rPr>
            <w:rStyle w:val="Hyperlink"/>
          </w:rPr>
          <w:t xml:space="preserve">3</w:t>
        </w:r>
      </w:hyperlink>
      <w:r>
        <w:t xml:space="preserve">:</w:t>
      </w:r>
    </w:p>
    <w:p>
      <w:pPr>
        <w:pStyle w:val="BodyText"/>
      </w:pPr>
      <m:oMathPara>
        <m:oMathParaPr>
          <m:jc m:val="center"/>
        </m:oMathParaPr>
        <m:oMath>
          <m:rad>
            <m:radPr>
              <m:degHide m:val="on"/>
            </m:radPr>
            <m:deg/>
            <m:e>
              <m:r>
                <m:rPr>
                  <m:sty m:val="p"/>
                </m:rPr>
                <m:t>det</m:t>
              </m:r>
              <m:r>
                <m:t>g</m:t>
              </m:r>
              <m:r>
                <m:rPr>
                  <m:sty m:val="p"/>
                </m:rPr>
                <m:t>(</m:t>
              </m:r>
              <m:r>
                <m:rPr>
                  <m:sty m:val="bi"/>
                </m:rPr>
                <m:t>θ</m:t>
              </m:r>
              <m:r>
                <m:rPr>
                  <m:sty m:val="p"/>
                </m:rPr>
                <m:t>)</m:t>
              </m:r>
            </m:e>
          </m:rad>
          <m:r>
            <m:rPr>
              <m:sty m:val="p"/>
            </m:rPr>
            <m:t>=</m:t>
          </m:r>
          <m:nary>
            <m:naryPr>
              <m:chr m:val="∏"/>
              <m:limLoc m:val="undOvr"/>
              <m:subHide m:val="off"/>
              <m:supHide m:val="off"/>
            </m:naryPr>
            <m:sub>
              <m:r>
                <m:t>i</m:t>
              </m:r>
              <m:r>
                <m:rPr>
                  <m:sty m:val="p"/>
                </m:rPr>
                <m:t>=</m:t>
              </m:r>
              <m:r>
                <m:t>1</m:t>
              </m:r>
            </m:sub>
            <m:sup>
              <m:r>
                <m:t>N</m:t>
              </m:r>
            </m:sup>
            <m:e>
              <m:rad>
                <m:radPr>
                  <m:degHide m:val="on"/>
                </m:radPr>
                <m:deg/>
                <m:e>
                  <m:sSub>
                    <m:e>
                      <m:r>
                        <m:t>c</m:t>
                      </m:r>
                    </m:e>
                    <m:sub>
                      <m:r>
                        <m:t>i</m:t>
                      </m:r>
                    </m:sub>
                  </m:sSub>
                </m:e>
              </m:rad>
            </m:e>
          </m:nary>
          <m:r>
            <m:t> </m:t>
          </m:r>
          <m:sSubSup>
            <m:e>
              <m:r>
                <m:t>θ</m:t>
              </m:r>
            </m:e>
            <m:sub>
              <m:r>
                <m:t>i</m:t>
              </m:r>
            </m:sub>
            <m:sup>
              <m:sSub>
                <m:e>
                  <m:r>
                    <m:t>α</m:t>
                  </m:r>
                </m:e>
                <m:sub>
                  <m:r>
                    <m:t>i</m:t>
                  </m:r>
                </m:sub>
              </m:sSub>
            </m:sup>
          </m:sSubSup>
          <m:r>
            <m:rPr>
              <m:sty m:val="p"/>
            </m:rPr>
            <m:t>=</m:t>
          </m:r>
          <m:r>
            <m:t>k</m:t>
          </m:r>
          <m:nary>
            <m:naryPr>
              <m:chr m:val="∏"/>
              <m:limLoc m:val="undOvr"/>
              <m:subHide m:val="off"/>
              <m:supHide m:val="off"/>
            </m:naryPr>
            <m:sub>
              <m:r>
                <m:t>i</m:t>
              </m:r>
              <m:r>
                <m:rPr>
                  <m:sty m:val="p"/>
                </m:rPr>
                <m:t>=</m:t>
              </m:r>
              <m:r>
                <m:t>1</m:t>
              </m:r>
            </m:sub>
            <m:sup>
              <m:r>
                <m:t>N</m:t>
              </m:r>
            </m:sup>
            <m:e>
              <m:sSubSup>
                <m:e>
                  <m:r>
                    <m:t>θ</m:t>
                  </m:r>
                </m:e>
                <m:sub>
                  <m:r>
                    <m:t>i</m:t>
                  </m:r>
                </m:sub>
                <m:sup>
                  <m:sSub>
                    <m:e>
                      <m:r>
                        <m:t>α</m:t>
                      </m:r>
                    </m:e>
                    <m:sub>
                      <m:r>
                        <m:t>i</m:t>
                      </m:r>
                    </m:sub>
                  </m:sSub>
                </m:sup>
              </m:sSubSup>
            </m:e>
          </m:nary>
          <m:r>
            <m:rPr>
              <m:sty m:val="p"/>
            </m:rPr>
            <m:t>,</m:t>
          </m:r>
          <m:r>
            <m:t> </m:t>
          </m:r>
          <m:r>
            <m:t>k</m:t>
          </m:r>
          <m:r>
            <m:rPr>
              <m:sty m:val="p"/>
            </m:rPr>
            <m:t>=</m:t>
          </m:r>
          <m:nary>
            <m:naryPr>
              <m:chr m:val="∏"/>
              <m:limLoc m:val="undOvr"/>
              <m:subHide m:val="off"/>
              <m:supHide m:val="off"/>
            </m:naryPr>
            <m:sub>
              <m:r>
                <m:t>i</m:t>
              </m:r>
              <m:r>
                <m:rPr>
                  <m:sty m:val="p"/>
                </m:rPr>
                <m:t>=</m:t>
              </m:r>
              <m:r>
                <m:t>1</m:t>
              </m:r>
            </m:sub>
            <m:sup>
              <m:r>
                <m:t>N</m:t>
              </m:r>
            </m:sup>
            <m:e>
              <m:rad>
                <m:radPr>
                  <m:degHide m:val="on"/>
                </m:radPr>
                <m:deg/>
                <m:e>
                  <m:sSub>
                    <m:e>
                      <m:r>
                        <m:t>c</m:t>
                      </m:r>
                    </m:e>
                    <m:sub>
                      <m:r>
                        <m:t>i</m:t>
                      </m:r>
                    </m:sub>
                  </m:sSub>
                </m:e>
              </m:rad>
            </m:e>
          </m:nary>
          <m:r>
            <m:rPr>
              <m:sty m:val="p"/>
            </m:rPr>
            <m:t>&gt;</m:t>
          </m:r>
          <m:r>
            <m:t>0</m:t>
          </m:r>
          <m:r>
            <m:rPr>
              <m:sty m:val="p"/>
            </m:rPr>
            <m:t>.</m:t>
          </m:r>
        </m:oMath>
      </m:oMathPara>
    </w:p>
    <w:p>
      <w:pPr>
        <w:pStyle w:val="FirstParagraph"/>
      </w:pPr>
      <w:r>
        <w:t xml:space="preserve">This is the multiplicative composition law</w:t>
      </w:r>
      <w:r>
        <w:t xml:space="preserve"> </w:t>
      </w:r>
      <w:hyperlink w:anchor="eq:mc">
        <w:r>
          <w:rPr>
            <w:rStyle w:val="Hyperlink"/>
          </w:rPr>
          <w:t xml:space="preserve">[eq:mc]</w:t>
        </w:r>
      </w:hyperlink>
      <w:r>
        <w:t xml:space="preserve"> </w:t>
      </w:r>
      <w:r>
        <w:t xml:space="preserve">with exponents</w:t>
      </w:r>
      <w:r>
        <w:t xml:space="preserve"> </w:t>
      </w:r>
      <m:oMath>
        <m:sSub>
          <m:e>
            <m:r>
              <m:t>α</m:t>
            </m:r>
          </m:e>
          <m:sub>
            <m:r>
              <m:t>i</m:t>
            </m:r>
          </m:sub>
        </m:sSub>
        <m:r>
          <m:rPr>
            <m:sty m:val="p"/>
          </m:rPr>
          <m:t>=</m:t>
        </m:r>
        <m:sSub>
          <m:e>
            <m:r>
              <m:t>q</m:t>
            </m:r>
          </m:e>
          <m:sub>
            <m:r>
              <m:t>i</m:t>
            </m:r>
          </m:sub>
        </m:sSub>
        <m:r>
          <m:rPr>
            <m:sty m:val="p"/>
          </m:rPr>
          <m:t>−</m:t>
        </m:r>
        <m:r>
          <m:t>1</m:t>
        </m:r>
        <m:r>
          <m:rPr>
            <m:sty m:val="p"/>
          </m:rPr>
          <m:t>&gt;</m:t>
        </m:r>
        <m:r>
          <m:t>0</m:t>
        </m:r>
      </m:oMath>
      <w:r>
        <w:t xml:space="preserve">.</w:t>
      </w:r>
    </w:p>
    <w:bookmarkEnd w:id="24"/>
    <w:bookmarkStart w:id="25" w:name="interpretation-of-the-exponents"/>
    <w:p>
      <w:pPr>
        <w:pStyle w:val="Heading2"/>
      </w:pPr>
      <w:r>
        <w:t xml:space="preserve">Interpretation of the exponents</w:t>
      </w:r>
    </w:p>
    <w:p>
      <w:pPr>
        <w:pStyle w:val="FirstParagraph"/>
      </w:pPr>
      <w:r>
        <w:t xml:space="preserve">The exponent</w:t>
      </w:r>
      <w:r>
        <w:t xml:space="preserve"> </w:t>
      </w:r>
      <m:oMath>
        <m:sSub>
          <m:e>
            <m:r>
              <m:t>α</m:t>
            </m:r>
          </m:e>
          <m:sub>
            <m:r>
              <m:t>i</m:t>
            </m:r>
          </m:sub>
        </m:sSub>
        <m:r>
          <m:rPr>
            <m:sty m:val="p"/>
          </m:rPr>
          <m:t>=</m:t>
        </m:r>
        <m:sSub>
          <m:e>
            <m:r>
              <m:t>q</m:t>
            </m:r>
          </m:e>
          <m:sub>
            <m:r>
              <m:t>i</m:t>
            </m:r>
          </m:sub>
        </m:sSub>
        <m:r>
          <m:rPr>
            <m:sty m:val="p"/>
          </m:rPr>
          <m:t>−</m:t>
        </m:r>
        <m:r>
          <m:t>1</m:t>
        </m:r>
      </m:oMath>
      <w:r>
        <w:t xml:space="preserve"> </w:t>
      </w:r>
      <w:r>
        <w:t xml:space="preserve">has a precise informational meaning: it is the</w:t>
      </w:r>
      <w:r>
        <w:t xml:space="preserve"> </w:t>
      </w:r>
      <w:r>
        <w:rPr>
          <w:i/>
          <w:iCs/>
        </w:rPr>
        <w:t xml:space="preserve">elasticity of informational resolution with respect to the dimension value</w:t>
      </w:r>
      <w:r>
        <w:t xml:space="preserve">:</w:t>
      </w:r>
    </w:p>
    <w:p>
      <w:pPr>
        <w:pStyle w:val="BodyText"/>
      </w:pPr>
      <m:oMathPara>
        <m:oMathParaPr>
          <m:jc m:val="center"/>
        </m:oMathParaPr>
        <m:oMath>
          <m:sSub>
            <m:e>
              <m:r>
                <m:t>α</m:t>
              </m:r>
            </m:e>
            <m:sub>
              <m:r>
                <m:t>i</m:t>
              </m:r>
            </m:sub>
          </m:sSub>
          <m:r>
            <m:rPr>
              <m:sty m:val="p"/>
            </m:rPr>
            <m:t>=</m:t>
          </m:r>
          <m:f>
            <m:fPr>
              <m:type m:val="bar"/>
            </m:fPr>
            <m:num>
              <m:r>
                <m:t>d</m:t>
              </m:r>
              <m:r>
                <m:rPr>
                  <m:sty m:val="p"/>
                </m:rPr>
                <m:t>log</m:t>
              </m:r>
              <m:sSub>
                <m:e>
                  <m:r>
                    <m:t>h</m:t>
                  </m:r>
                </m:e>
                <m:sub>
                  <m:r>
                    <m:t>i</m:t>
                  </m:r>
                </m:sub>
              </m:sSub>
            </m:num>
            <m:den>
              <m:r>
                <m:t>d</m:t>
              </m:r>
              <m:r>
                <m:rPr>
                  <m:sty m:val="p"/>
                </m:rPr>
                <m:t>log</m:t>
              </m:r>
              <m:sSub>
                <m:e>
                  <m:r>
                    <m:t>θ</m:t>
                  </m:r>
                </m:e>
                <m:sub>
                  <m:r>
                    <m:t>i</m:t>
                  </m:r>
                </m:sub>
              </m:sSub>
            </m:den>
          </m:f>
          <m:r>
            <m:rPr>
              <m:sty m:val="p"/>
            </m:rPr>
            <m:t>=</m:t>
          </m:r>
          <m:f>
            <m:fPr>
              <m:type m:val="bar"/>
            </m:fPr>
            <m:num>
              <m:sSub>
                <m:e>
                  <m:r>
                    <m:t>θ</m:t>
                  </m:r>
                </m:e>
                <m:sub>
                  <m:r>
                    <m:t>i</m:t>
                  </m:r>
                </m:sub>
              </m:sSub>
            </m:num>
            <m:den>
              <m:sSub>
                <m:e>
                  <m:r>
                    <m:t>h</m:t>
                  </m:r>
                </m:e>
                <m:sub>
                  <m:r>
                    <m:t>i</m:t>
                  </m:r>
                </m:sub>
              </m:sSub>
            </m:den>
          </m:f>
          <m:f>
            <m:fPr>
              <m:type m:val="bar"/>
            </m:fPr>
            <m:num>
              <m:r>
                <m:t>d</m:t>
              </m:r>
              <m:sSub>
                <m:e>
                  <m:r>
                    <m:t>h</m:t>
                  </m:r>
                </m:e>
                <m:sub>
                  <m:r>
                    <m:t>i</m:t>
                  </m:r>
                </m:sub>
              </m:sSub>
            </m:num>
            <m:den>
              <m:r>
                <m:t>d</m:t>
              </m:r>
              <m:sSub>
                <m:e>
                  <m:r>
                    <m:t>θ</m:t>
                  </m:r>
                </m:e>
                <m:sub>
                  <m:r>
                    <m:t>i</m:t>
                  </m:r>
                </m:sub>
              </m:sSub>
            </m:den>
          </m:f>
          <m:r>
            <m:rPr>
              <m:sty m:val="p"/>
            </m:rPr>
            <m:t>,</m:t>
          </m:r>
        </m:oMath>
      </m:oMathPara>
    </w:p>
    <w:p>
      <w:pPr>
        <w:pStyle w:val="FirstParagraph"/>
      </w:pPr>
      <w:r>
        <w:t xml:space="preserve">where</w:t>
      </w:r>
      <w:r>
        <w:t xml:space="preserve"> </w:t>
      </w:r>
      <m:oMath>
        <m:sSub>
          <m:e>
            <m:r>
              <m:t>h</m:t>
            </m:r>
          </m:e>
          <m:sub>
            <m:r>
              <m:t>i</m:t>
            </m:r>
          </m:sub>
        </m:sSub>
        <m:r>
          <m:rPr>
            <m:sty m:val="p"/>
          </m:rPr>
          <m:t>=</m:t>
        </m:r>
        <m:rad>
          <m:radPr>
            <m:degHide m:val="on"/>
          </m:radPr>
          <m:deg/>
          <m:e>
            <m:sSub>
              <m:e>
                <m:r>
                  <m:t>g</m:t>
                </m:r>
              </m:e>
              <m:sub>
                <m:r>
                  <m:t>i</m:t>
                </m:r>
                <m:r>
                  <m:t>i</m:t>
                </m:r>
              </m:sub>
            </m:sSub>
          </m:e>
        </m:rad>
        <m:r>
          <m:rPr>
            <m:sty m:val="p"/>
          </m:rPr>
          <m:t>=</m:t>
        </m:r>
        <m:rad>
          <m:radPr>
            <m:degHide m:val="on"/>
          </m:radPr>
          <m:deg/>
          <m:e>
            <m:sSub>
              <m:e>
                <m:r>
                  <m:t>c</m:t>
                </m:r>
              </m:e>
              <m:sub>
                <m:r>
                  <m:t>i</m:t>
                </m:r>
              </m:sub>
            </m:sSub>
          </m:e>
        </m:rad>
        <m:r>
          <m:t> </m:t>
        </m:r>
        <m:sSubSup>
          <m:e>
            <m:r>
              <m:t>θ</m:t>
            </m:r>
          </m:e>
          <m:sub>
            <m:r>
              <m:t>i</m:t>
            </m:r>
          </m:sub>
          <m:sup>
            <m:sSub>
              <m:e>
                <m:r>
                  <m:t>α</m:t>
                </m:r>
              </m:e>
              <m:sub>
                <m:r>
                  <m:t>i</m:t>
                </m:r>
              </m:sub>
            </m:sSub>
          </m:sup>
        </m:sSubSup>
      </m:oMath>
      <w:r>
        <w:t xml:space="preserve">. A dimension with</w:t>
      </w:r>
      <w:r>
        <w:t xml:space="preserve"> </w:t>
      </w:r>
      <m:oMath>
        <m:sSub>
          <m:e>
            <m:r>
              <m:t>α</m:t>
            </m:r>
          </m:e>
          <m:sub>
            <m:r>
              <m:t>i</m:t>
            </m:r>
          </m:sub>
        </m:sSub>
        <m:r>
          <m:rPr>
            <m:sty m:val="p"/>
          </m:rPr>
          <m:t>=</m:t>
        </m:r>
        <m:r>
          <m:t>1</m:t>
        </m:r>
      </m:oMath>
      <w:r>
        <w:t xml:space="preserve"> </w:t>
      </w:r>
      <w:r>
        <w:t xml:space="preserve">(quadratic response,</w:t>
      </w:r>
      <w:r>
        <w:t xml:space="preserve"> </w:t>
      </w:r>
      <m:oMath>
        <m:sSub>
          <m:e>
            <m:r>
              <m:t>q</m:t>
            </m:r>
          </m:e>
          <m:sub>
            <m:r>
              <m:t>i</m:t>
            </m:r>
          </m:sub>
        </m:sSub>
        <m:r>
          <m:rPr>
            <m:sty m:val="p"/>
          </m:rPr>
          <m:t>=</m:t>
        </m:r>
        <m:r>
          <m:t>2</m:t>
        </m:r>
      </m:oMath>
      <w:r>
        <w:t xml:space="preserve">) has informational resolution proportional to its value. A dimension with</w:t>
      </w:r>
      <w:r>
        <w:t xml:space="preserve"> </w:t>
      </w:r>
      <m:oMath>
        <m:sSub>
          <m:e>
            <m:r>
              <m:t>α</m:t>
            </m:r>
          </m:e>
          <m:sub>
            <m:r>
              <m:t>i</m:t>
            </m:r>
          </m:sub>
        </m:sSub>
        <m:r>
          <m:rPr>
            <m:sty m:val="p"/>
          </m:rPr>
          <m:t>=</m:t>
        </m:r>
        <m:r>
          <m:t>2</m:t>
        </m:r>
      </m:oMath>
      <w:r>
        <w:t xml:space="preserve"> </w:t>
      </w:r>
      <w:r>
        <w:t xml:space="preserve">(cubic response,</w:t>
      </w:r>
      <w:r>
        <w:t xml:space="preserve"> </w:t>
      </w:r>
      <m:oMath>
        <m:sSub>
          <m:e>
            <m:r>
              <m:t>q</m:t>
            </m:r>
          </m:e>
          <m:sub>
            <m:r>
              <m:t>i</m:t>
            </m:r>
          </m:sub>
        </m:sSub>
        <m:r>
          <m:rPr>
            <m:sty m:val="p"/>
          </m:rPr>
          <m:t>=</m:t>
        </m:r>
        <m:r>
          <m:t>3</m:t>
        </m:r>
      </m:oMath>
      <w:r>
        <w:t xml:space="preserve">) has resolution growing as the square of its value—it is more sensitive near zero and contributes more strongly to the binding constraint.</w:t>
      </w:r>
    </w:p>
    <w:p>
      <w:pPr>
        <w:pStyle w:val="BodyText"/>
      </w:pPr>
      <w:r>
        <w:t xml:space="preserve">The condition</w:t>
      </w:r>
      <w:r>
        <w:t xml:space="preserve"> </w:t>
      </w:r>
      <m:oMath>
        <m:sSub>
          <m:e>
            <m:r>
              <m:t>q</m:t>
            </m:r>
          </m:e>
          <m:sub>
            <m:r>
              <m:t>i</m:t>
            </m:r>
          </m:sub>
        </m:sSub>
        <m:r>
          <m:rPr>
            <m:sty m:val="p"/>
          </m:rPr>
          <m:t>&gt;</m:t>
        </m:r>
        <m:r>
          <m:t>1</m:t>
        </m:r>
      </m:oMath>
      <w:r>
        <w:t xml:space="preserve"> </w:t>
      </w:r>
      <w:r>
        <w:t xml:space="preserve">(equivalently</w:t>
      </w:r>
      <w:r>
        <w:t xml:space="preserve"> </w:t>
      </w:r>
      <m:oMath>
        <m:sSub>
          <m:e>
            <m:r>
              <m:t>α</m:t>
            </m:r>
          </m:e>
          <m:sub>
            <m:r>
              <m:t>i</m:t>
            </m:r>
          </m:sub>
        </m:sSub>
        <m:r>
          <m:rPr>
            <m:sty m:val="p"/>
          </m:rPr>
          <m:t>&gt;</m:t>
        </m:r>
        <m:r>
          <m:t>0</m:t>
        </m:r>
      </m:oMath>
      <w:r>
        <w:t xml:space="preserve">) has a natural interpretation:</w:t>
      </w:r>
      <w:r>
        <w:t xml:space="preserve"> </w:t>
      </w:r>
      <w:r>
        <w:rPr>
          <w:i/>
          <w:iCs/>
        </w:rPr>
        <w:t xml:space="preserve">the signal must be superlinear in the dimension value for zero-collapse to hold</w:t>
      </w:r>
      <w:r>
        <w:t xml:space="preserve">. A linear channel (</w:t>
      </w:r>
      <m:oMath>
        <m:sSub>
          <m:e>
            <m:r>
              <m:t>q</m:t>
            </m:r>
          </m:e>
          <m:sub>
            <m:r>
              <m:t>i</m:t>
            </m:r>
          </m:sub>
        </m:sSub>
        <m:r>
          <m:rPr>
            <m:sty m:val="p"/>
          </m:rPr>
          <m:t>=</m:t>
        </m:r>
        <m:r>
          <m:t>1</m:t>
        </m:r>
      </m:oMath>
      <w:r>
        <w:t xml:space="preserve">) has constant Fisher information—it remains equally informative at all dimension values, including zero. There is no binding constraint because there is no degradation near zero. Emergence requires nonlinear response: the signal must vanish faster than linearly as the dimension approaches zero.</w:t>
      </w:r>
    </w:p>
    <w:bookmarkEnd w:id="25"/>
    <w:bookmarkStart w:id="26" w:name="generality-of-the-construction"/>
    <w:p>
      <w:pPr>
        <w:pStyle w:val="Heading2"/>
      </w:pPr>
      <w:r>
        <w:t xml:space="preserve">Generality of the construction</w:t>
      </w:r>
    </w:p>
    <w:p>
      <w:pPr>
        <w:pStyle w:val="FirstParagraph"/>
      </w:pPr>
      <w:r>
        <w:t xml:space="preserve">The power-law response model is not restricted to Gaussian noise. By Proposition </w:t>
      </w:r>
      <w:hyperlink w:anchor="prop:fisher">
        <w:r>
          <w:rPr>
            <w:rStyle w:val="Hyperlink"/>
          </w:rPr>
          <w:t xml:space="preserve">6</w:t>
        </w:r>
      </w:hyperlink>
      <w:r>
        <w:t xml:space="preserve">, the structure</w:t>
      </w:r>
      <w:r>
        <w:t xml:space="preserve"> </w:t>
      </w:r>
      <m:oMath>
        <m:sSub>
          <m:e>
            <m:r>
              <m:t>g</m:t>
            </m:r>
          </m:e>
          <m:sub>
            <m:r>
              <m:t>i</m:t>
            </m:r>
            <m:r>
              <m:t>i</m:t>
            </m:r>
          </m:sub>
        </m:sSub>
        <m:r>
          <m:rPr>
            <m:sty m:val="p"/>
          </m:rPr>
          <m:t>∝</m:t>
        </m:r>
        <m:sSubSup>
          <m:e>
            <m:r>
              <m:t>θ</m:t>
            </m:r>
          </m:e>
          <m:sub>
            <m:r>
              <m:t>i</m:t>
            </m:r>
          </m:sub>
          <m:sup>
            <m:r>
              <m:t>2</m:t>
            </m:r>
            <m:sSub>
              <m:e>
                <m:r>
                  <m:t>α</m:t>
                </m:r>
              </m:e>
              <m:sub>
                <m:r>
                  <m:t>i</m:t>
                </m:r>
              </m:sub>
            </m:sSub>
          </m:sup>
        </m:sSubSup>
      </m:oMath>
      <w:r>
        <w:t xml:space="preserve"> </w:t>
      </w:r>
      <w:r>
        <w:t xml:space="preserve">holds for</w:t>
      </w:r>
      <w:r>
        <w:t xml:space="preserve"> </w:t>
      </w:r>
      <w:r>
        <w:rPr>
          <w:i/>
          <w:iCs/>
        </w:rPr>
        <w:t xml:space="preserve">any</w:t>
      </w:r>
      <w:r>
        <w:t xml:space="preserve"> </w:t>
      </w:r>
      <w:r>
        <w:t xml:space="preserve">noise distribution</w:t>
      </w:r>
      <w:r>
        <w:t xml:space="preserve"> </w:t>
      </w:r>
      <m:oMath>
        <m:sSub>
          <m:e>
            <m:r>
              <m:t>p</m:t>
            </m:r>
          </m:e>
          <m:sub>
            <m:r>
              <m:t>i</m:t>
            </m:r>
          </m:sub>
        </m:sSub>
      </m:oMath>
      <w:r>
        <w:t xml:space="preserve"> </w:t>
      </w:r>
      <w:r>
        <w:t xml:space="preserve">with finite Fisher information</w:t>
      </w:r>
      <w:r>
        <w:t xml:space="preserve"> </w:t>
      </w:r>
      <m:oMath>
        <m:sSub>
          <m:e>
            <m:r>
              <m:t>I</m:t>
            </m:r>
          </m:e>
          <m:sub>
            <m:sSub>
              <m:e>
                <m:r>
                  <m:t>p</m:t>
                </m:r>
              </m:e>
              <m:sub>
                <m:r>
                  <m:t>i</m:t>
                </m:r>
              </m:sub>
            </m:sSub>
          </m:sub>
        </m:sSub>
      </m:oMath>
      <w:r>
        <w:t xml:space="preserve">. The noise distribution affects only the constant</w:t>
      </w:r>
      <w:r>
        <w:t xml:space="preserve"> </w:t>
      </w:r>
      <m:oMath>
        <m:sSub>
          <m:e>
            <m:r>
              <m:t>c</m:t>
            </m:r>
          </m:e>
          <m:sub>
            <m:r>
              <m:t>i</m:t>
            </m:r>
          </m:sub>
        </m:sSub>
      </m:oMath>
      <w:r>
        <w:t xml:space="preserve">, not the functional form. Gaussian, Laplacian, logistic, and any other regular noise distribution yield the same power-law Fisher information structure. This universality strengthens the geometric interpretation: the multiplicative form depends on the response geometry, not on the noise statistics.</w:t>
      </w:r>
    </w:p>
    <w:bookmarkEnd w:id="26"/>
    <w:bookmarkEnd w:id="27"/>
    <w:bookmarkStart w:id="29" w:name="sec:axioms"/>
    <w:p>
      <w:pPr>
        <w:pStyle w:val="Heading1"/>
      </w:pPr>
      <w:r>
        <w:t xml:space="preserve">The Axioms as Geometric Consequences</w:t>
      </w:r>
    </w:p>
    <w:p>
      <w:pPr>
        <w:pStyle w:val="FirstParagraph"/>
      </w:pPr>
      <w:r>
        <w:t xml:space="preserve">We now show that the five axioms of</w:t>
      </w:r>
      <w:r>
        <w:t xml:space="preserve"> </w:t>
      </w:r>
      <w:r>
        <w:t xml:space="preserve"> </w:t>
      </w:r>
      <w:r>
        <w:t xml:space="preserve">are consequences of the information geometry, not independent postulates.</w:t>
      </w:r>
    </w:p>
    <w:bookmarkStart w:id="28" w:name="prop:axioms"/>
    <w:p>
      <w:pPr>
        <w:pStyle w:val="BodyText"/>
      </w:pPr>
      <w:r>
        <w:rPr>
          <w:b/>
          <w:bCs/>
        </w:rPr>
        <w:t xml:space="preserve">Proposition 7</w:t>
      </w:r>
      <w:r>
        <w:t xml:space="preserve"> </w:t>
      </w:r>
      <w:r>
        <w:t xml:space="preserve">(Axiom recovery).</w:t>
      </w:r>
      <w:r>
        <w:t xml:space="preserve"> </w:t>
      </w:r>
      <w:r>
        <w:t xml:space="preserve"> </w:t>
      </w:r>
      <w:r>
        <w:rPr>
          <w:i/>
          <w:iCs/>
        </w:rPr>
        <w:t xml:space="preserve">Under the power-law response channel model (Section </w:t>
      </w:r>
      <w:hyperlink w:anchor="sec:model">
        <w:r>
          <w:rPr>
            <w:rStyle w:val="Hyperlink"/>
            <w:i/>
            <w:iCs/>
          </w:rPr>
          <w:t xml:space="preserve">4</w:t>
        </w:r>
      </w:hyperlink>
      <w:r>
        <w:rPr>
          <w:i/>
          <w:iCs/>
        </w:rPr>
        <w:t xml:space="preserve">), the informational volume density</w:t>
      </w:r>
      <w:r>
        <w:rPr>
          <w:i/>
          <w:iCs/>
        </w:rPr>
        <w:t xml:space="preserve"> </w:t>
      </w:r>
      <m:oMath>
        <m:r>
          <m:t>E</m:t>
        </m:r>
        <m:r>
          <m:rPr>
            <m:sty m:val="p"/>
          </m:rPr>
          <m:t>(</m:t>
        </m:r>
        <m:r>
          <m:rPr>
            <m:sty m:val="bi"/>
          </m:rPr>
          <m:t>θ</m:t>
        </m:r>
        <m:r>
          <m:rPr>
            <m:sty m:val="p"/>
          </m:rPr>
          <m:t>)</m:t>
        </m:r>
        <m:r>
          <m:rPr>
            <m:sty m:val="p"/>
          </m:rPr>
          <m:t>=</m:t>
        </m:r>
        <m:rad>
          <m:radPr>
            <m:degHide m:val="on"/>
          </m:radPr>
          <m:deg/>
          <m:e>
            <m:r>
              <m:rPr>
                <m:sty m:val="p"/>
              </m:rPr>
              <m:t>det</m:t>
            </m:r>
            <m:r>
              <m:t>g</m:t>
            </m:r>
            <m:r>
              <m:rPr>
                <m:sty m:val="p"/>
              </m:rPr>
              <m:t>(</m:t>
            </m:r>
            <m:r>
              <m:rPr>
                <m:sty m:val="bi"/>
              </m:rPr>
              <m:t>θ</m:t>
            </m:r>
            <m:r>
              <m:rPr>
                <m:sty m:val="p"/>
              </m:rPr>
              <m:t>)</m:t>
            </m:r>
          </m:e>
        </m:rad>
      </m:oMath>
      <w:r>
        <w:rPr>
          <w:i/>
          <w:iCs/>
        </w:rPr>
        <w:t xml:space="preserve"> </w:t>
      </w:r>
      <w:r>
        <w:rPr>
          <w:i/>
          <w:iCs/>
        </w:rPr>
        <w:t xml:space="preserve">satisfies:</w:t>
      </w:r>
    </w:p>
    <w:p>
      <w:pPr>
        <w:numPr>
          <w:ilvl w:val="0"/>
          <w:numId w:val="1001"/>
        </w:numPr>
      </w:pPr>
      <w:r>
        <w:rPr>
          <w:b/>
          <w:bCs/>
          <w:i/>
          <w:iCs/>
        </w:rPr>
        <w:t xml:space="preserve">Zero-collapse.</w:t>
      </w:r>
      <w:r>
        <w:rPr>
          <w:i/>
          <w:iCs/>
        </w:rPr>
        <w:t xml:space="preserve"> </w:t>
      </w:r>
      <m:oMath>
        <m:sSub>
          <m:e>
            <m:r>
              <m:t>θ</m:t>
            </m:r>
          </m:e>
          <m:sub>
            <m:r>
              <m:t>i</m:t>
            </m:r>
          </m:sub>
        </m:sSub>
        <m:r>
          <m:rPr>
            <m:sty m:val="p"/>
          </m:rPr>
          <m:t>=</m:t>
        </m:r>
        <m:r>
          <m:t>0</m:t>
        </m:r>
        <m:r>
          <m:rPr>
            <m:sty m:val="p"/>
          </m:rPr>
          <m:t>⟹</m:t>
        </m:r>
        <m:sSub>
          <m:e>
            <m:r>
              <m:t>g</m:t>
            </m:r>
          </m:e>
          <m:sub>
            <m:r>
              <m:t>i</m:t>
            </m:r>
            <m:r>
              <m:t>i</m:t>
            </m:r>
          </m:sub>
        </m:sSub>
        <m:r>
          <m:rPr>
            <m:sty m:val="p"/>
          </m:rPr>
          <m:t>(</m:t>
        </m:r>
        <m:r>
          <m:t>0</m:t>
        </m:r>
        <m:r>
          <m:rPr>
            <m:sty m:val="p"/>
          </m:rPr>
          <m:t>)</m:t>
        </m:r>
        <m:r>
          <m:rPr>
            <m:sty m:val="p"/>
          </m:rPr>
          <m:t>=</m:t>
        </m:r>
        <m:r>
          <m:t>0</m:t>
        </m:r>
        <m:r>
          <m:rPr>
            <m:sty m:val="p"/>
          </m:rPr>
          <m:t>⟹</m:t>
        </m:r>
        <m:r>
          <m:t>E</m:t>
        </m:r>
        <m:r>
          <m:rPr>
            <m:sty m:val="p"/>
          </m:rPr>
          <m:t>(</m:t>
        </m:r>
        <m:r>
          <m:rPr>
            <m:sty m:val="bi"/>
          </m:rPr>
          <m:t>θ</m:t>
        </m:r>
        <m:r>
          <m:rPr>
            <m:sty m:val="p"/>
          </m:rPr>
          <m:t>)</m:t>
        </m:r>
        <m:r>
          <m:rPr>
            <m:sty m:val="p"/>
          </m:rPr>
          <m:t>=</m:t>
        </m:r>
        <m:r>
          <m:t>0</m:t>
        </m:r>
      </m:oMath>
      <w:r>
        <w:rPr>
          <w:i/>
          <w:iCs/>
        </w:rPr>
        <w:t xml:space="preserve">.</w:t>
      </w:r>
      <w:r>
        <w:br/>
      </w:r>
      <w:r>
        <w:rPr>
          <w:i/>
          <w:i/>
          <w:iCs/>
          <w:iCs/>
        </w:rPr>
        <w:t xml:space="preserve">Geometric origin:</w:t>
      </w:r>
      <w:r>
        <w:rPr>
          <w:i/>
          <w:iCs/>
        </w:rPr>
        <w:t xml:space="preserve"> </w:t>
      </w:r>
      <w:r>
        <w:rPr>
          <w:i/>
          <w:iCs/>
        </w:rPr>
        <w:t xml:space="preserve">At</w:t>
      </w:r>
      <w:r>
        <w:rPr>
          <w:i/>
          <w:iCs/>
        </w:rPr>
        <w:t xml:space="preserve"> </w:t>
      </w:r>
      <m:oMath>
        <m:sSub>
          <m:e>
            <m:r>
              <m:t>θ</m:t>
            </m:r>
          </m:e>
          <m:sub>
            <m:r>
              <m:t>i</m:t>
            </m:r>
          </m:sub>
        </m:sSub>
        <m:r>
          <m:rPr>
            <m:sty m:val="p"/>
          </m:rPr>
          <m:t>=</m:t>
        </m:r>
        <m:r>
          <m:t>0</m:t>
        </m:r>
      </m:oMath>
      <w:r>
        <w:rPr>
          <w:i/>
          <w:iCs/>
        </w:rPr>
        <w:t xml:space="preserve">, the signal</w:t>
      </w:r>
      <w:r>
        <w:rPr>
          <w:i/>
          <w:iCs/>
        </w:rPr>
        <w:t xml:space="preserve"> </w:t>
      </w:r>
      <m:oMath>
        <m:sSub>
          <m:e>
            <m:r>
              <m:t>μ</m:t>
            </m:r>
          </m:e>
          <m:sub>
            <m:r>
              <m:t>i</m:t>
            </m:r>
          </m:sub>
        </m:sSub>
        <m:r>
          <m:rPr>
            <m:sty m:val="p"/>
          </m:rPr>
          <m:t>(</m:t>
        </m:r>
        <m:r>
          <m:t>0</m:t>
        </m:r>
        <m:r>
          <m:rPr>
            <m:sty m:val="p"/>
          </m:rPr>
          <m:t>)</m:t>
        </m:r>
        <m:r>
          <m:rPr>
            <m:sty m:val="p"/>
          </m:rPr>
          <m:t>=</m:t>
        </m:r>
        <m:sSup>
          <m:e>
            <m:r>
              <m:t>0</m:t>
            </m:r>
          </m:e>
          <m:sup>
            <m:sSub>
              <m:e>
                <m:r>
                  <m:t>q</m:t>
                </m:r>
              </m:e>
              <m:sub>
                <m:r>
                  <m:t>i</m:t>
                </m:r>
              </m:sub>
            </m:sSub>
          </m:sup>
        </m:sSup>
        <m:r>
          <m:rPr>
            <m:sty m:val="p"/>
          </m:rPr>
          <m:t>=</m:t>
        </m:r>
        <m:r>
          <m:t>0</m:t>
        </m:r>
      </m:oMath>
      <w:r>
        <w:rPr>
          <w:i/>
          <w:iCs/>
        </w:rPr>
        <w:t xml:space="preserve"> </w:t>
      </w:r>
      <w:r>
        <w:rPr>
          <w:i/>
          <w:iCs/>
        </w:rPr>
        <w:t xml:space="preserve">regardless of the response order. The channel produces pure noise. The distribution does not depend on</w:t>
      </w:r>
      <w:r>
        <w:rPr>
          <w:i/>
          <w:iCs/>
        </w:rPr>
        <w:t xml:space="preserve"> </w:t>
      </w:r>
      <m:oMath>
        <m:sSub>
          <m:e>
            <m:r>
              <m:t>θ</m:t>
            </m:r>
          </m:e>
          <m:sub>
            <m:r>
              <m:t>i</m:t>
            </m:r>
          </m:sub>
        </m:sSub>
      </m:oMath>
      <w:r>
        <w:rPr>
          <w:i/>
          <w:iCs/>
        </w:rPr>
        <w:t xml:space="preserve"> </w:t>
      </w:r>
      <w:r>
        <w:rPr>
          <w:i/>
          <w:iCs/>
        </w:rPr>
        <w:t xml:space="preserve">locally, so the Fisher information vanishes. The volume element degenerates along axis</w:t>
      </w:r>
      <w:r>
        <w:rPr>
          <w:i/>
          <w:iCs/>
        </w:rPr>
        <w:t xml:space="preserve"> </w:t>
      </w:r>
      <m:oMath>
        <m:r>
          <m:t>i</m:t>
        </m:r>
      </m:oMath>
      <w:r>
        <w:rPr>
          <w:i/>
          <w:iCs/>
        </w:rPr>
        <w:t xml:space="preserve">, annihilating the total volume. This is zero-collapse as an information-geometric fact.</w:t>
      </w:r>
    </w:p>
    <w:p>
      <w:pPr>
        <w:numPr>
          <w:ilvl w:val="0"/>
          <w:numId w:val="1001"/>
        </w:numPr>
      </w:pPr>
      <w:r>
        <w:rPr>
          <w:b/>
          <w:bCs/>
          <w:i/>
          <w:iCs/>
        </w:rPr>
        <w:t xml:space="preserve">Continuity.</w:t>
      </w:r>
      <w:r>
        <w:rPr>
          <w:i/>
          <w:iCs/>
        </w:rPr>
        <w:t xml:space="preserve"> </w:t>
      </w:r>
      <m:oMath>
        <m:sSub>
          <m:e>
            <m:r>
              <m:t>g</m:t>
            </m:r>
          </m:e>
          <m:sub>
            <m:r>
              <m:t>i</m:t>
            </m:r>
            <m:r>
              <m:t>i</m:t>
            </m:r>
          </m:sub>
        </m:sSub>
        <m:r>
          <m:rPr>
            <m:sty m:val="p"/>
          </m:rPr>
          <m:t>(</m:t>
        </m:r>
        <m:sSub>
          <m:e>
            <m:r>
              <m:t>θ</m:t>
            </m:r>
          </m:e>
          <m:sub>
            <m:r>
              <m:t>i</m:t>
            </m:r>
          </m:sub>
        </m:sSub>
        <m:r>
          <m:rPr>
            <m:sty m:val="p"/>
          </m:rPr>
          <m:t>)</m:t>
        </m:r>
        <m:r>
          <m:rPr>
            <m:sty m:val="p"/>
          </m:rPr>
          <m:t>=</m:t>
        </m:r>
        <m:sSub>
          <m:e>
            <m:r>
              <m:t>c</m:t>
            </m:r>
          </m:e>
          <m:sub>
            <m:r>
              <m:t>i</m:t>
            </m:r>
          </m:sub>
        </m:sSub>
        <m:sSubSup>
          <m:e>
            <m:r>
              <m:t>θ</m:t>
            </m:r>
          </m:e>
          <m:sub>
            <m:r>
              <m:t>i</m:t>
            </m:r>
          </m:sub>
          <m:sup>
            <m:r>
              <m:t>2</m:t>
            </m:r>
            <m:sSub>
              <m:e>
                <m:r>
                  <m:t>α</m:t>
                </m:r>
              </m:e>
              <m:sub>
                <m:r>
                  <m:t>i</m:t>
                </m:r>
              </m:sub>
            </m:sSub>
          </m:sup>
        </m:sSubSup>
      </m:oMath>
      <w:r>
        <w:rPr>
          <w:i/>
          <w:iCs/>
        </w:rPr>
        <w:t xml:space="preserve"> </w:t>
      </w:r>
      <w:r>
        <w:rPr>
          <w:i/>
          <w:iCs/>
        </w:rPr>
        <w:t xml:space="preserve">is smooth on</w:t>
      </w:r>
      <w:r>
        <w:rPr>
          <w:i/>
          <w:iCs/>
        </w:rPr>
        <w:t xml:space="preserve"> </w:t>
      </w:r>
      <m:oMath>
        <m:sSub>
          <m:e>
            <m:r>
              <m:rPr>
                <m:scr m:val="double-struck"/>
                <m:sty m:val="p"/>
              </m:rPr>
              <m:t>R</m:t>
            </m:r>
          </m:e>
          <m:sub>
            <m:r>
              <m:rPr>
                <m:sty m:val="p"/>
              </m:rPr>
              <m:t>&gt;</m:t>
            </m:r>
            <m:r>
              <m:t>0</m:t>
            </m:r>
          </m:sub>
        </m:sSub>
      </m:oMath>
      <w:r>
        <w:rPr>
          <w:i/>
          <w:iCs/>
        </w:rPr>
        <w:t xml:space="preserve">, so</w:t>
      </w:r>
      <w:r>
        <w:rPr>
          <w:i/>
          <w:iCs/>
        </w:rPr>
        <w:t xml:space="preserve"> </w:t>
      </w:r>
      <m:oMath>
        <m:r>
          <m:t>E</m:t>
        </m:r>
      </m:oMath>
      <w:r>
        <w:rPr>
          <w:i/>
          <w:iCs/>
        </w:rPr>
        <w:t xml:space="preserve"> </w:t>
      </w:r>
      <w:r>
        <w:rPr>
          <w:i/>
          <w:iCs/>
        </w:rPr>
        <w:t xml:space="preserve">is continuous on</w:t>
      </w:r>
      <w:r>
        <w:rPr>
          <w:i/>
          <w:iCs/>
        </w:rPr>
        <w:t xml:space="preserve"> </w:t>
      </w:r>
      <m:oMath>
        <m:sSubSup>
          <m:e>
            <m:r>
              <m:rPr>
                <m:scr m:val="double-struck"/>
                <m:sty m:val="p"/>
              </m:rPr>
              <m:t>R</m:t>
            </m:r>
          </m:e>
          <m:sub>
            <m:r>
              <m:rPr>
                <m:sty m:val="p"/>
              </m:rPr>
              <m:t>&gt;</m:t>
            </m:r>
            <m:r>
              <m:t>0</m:t>
            </m:r>
          </m:sub>
          <m:sup>
            <m:r>
              <m:t>N</m:t>
            </m:r>
          </m:sup>
        </m:sSubSup>
      </m:oMath>
      <w:r>
        <w:rPr>
          <w:i/>
          <w:iCs/>
        </w:rPr>
        <w:t xml:space="preserve">.</w:t>
      </w:r>
      <w:r>
        <w:br/>
      </w:r>
      <w:r>
        <w:rPr>
          <w:i/>
          <w:i/>
          <w:iCs/>
          <w:iCs/>
        </w:rPr>
        <w:t xml:space="preserve">Geometric origin:</w:t>
      </w:r>
      <w:r>
        <w:rPr>
          <w:i/>
          <w:iCs/>
        </w:rPr>
        <w:t xml:space="preserve"> </w:t>
      </w:r>
      <w:r>
        <w:rPr>
          <w:i/>
          <w:iCs/>
        </w:rPr>
        <w:t xml:space="preserve">The Fisher metric is smooth on the interior of a regular statistical model.</w:t>
      </w:r>
    </w:p>
    <w:p>
      <w:pPr>
        <w:numPr>
          <w:ilvl w:val="0"/>
          <w:numId w:val="1001"/>
        </w:numPr>
      </w:pPr>
      <w:r>
        <w:rPr>
          <w:b/>
          <w:bCs/>
          <w:i/>
          <w:iCs/>
        </w:rPr>
        <w:t xml:space="preserve">Monotonicity.</w:t>
      </w:r>
      <w:r>
        <w:rPr>
          <w:i/>
          <w:iCs/>
        </w:rPr>
        <w:t xml:space="preserve"> </w:t>
      </w:r>
      <m:oMath>
        <m:r>
          <m:rPr>
            <m:sty m:val="p"/>
          </m:rPr>
          <m:t>∂</m:t>
        </m:r>
        <m:r>
          <m:t>E</m:t>
        </m:r>
        <m:r>
          <m:rPr>
            <m:sty m:val="p"/>
          </m:rPr>
          <m:t>/</m:t>
        </m:r>
        <m:r>
          <m:rPr>
            <m:sty m:val="p"/>
          </m:rPr>
          <m:t>∂</m:t>
        </m:r>
        <m:sSub>
          <m:e>
            <m:r>
              <m:t>θ</m:t>
            </m:r>
          </m:e>
          <m:sub>
            <m:r>
              <m:t>i</m:t>
            </m:r>
          </m:sub>
        </m:sSub>
        <m:r>
          <m:rPr>
            <m:sty m:val="p"/>
          </m:rPr>
          <m:t>&gt;</m:t>
        </m:r>
        <m:r>
          <m:t>0</m:t>
        </m:r>
      </m:oMath>
      <w:r>
        <w:rPr>
          <w:i/>
          <w:iCs/>
        </w:rPr>
        <w:t xml:space="preserve"> </w:t>
      </w:r>
      <w:r>
        <w:rPr>
          <w:i/>
          <w:iCs/>
        </w:rPr>
        <w:t xml:space="preserve">for</w:t>
      </w:r>
      <w:r>
        <w:rPr>
          <w:i/>
          <w:iCs/>
        </w:rPr>
        <w:t xml:space="preserve"> </w:t>
      </w:r>
      <m:oMath>
        <m:sSub>
          <m:e>
            <m:r>
              <m:t>θ</m:t>
            </m:r>
          </m:e>
          <m:sub>
            <m:r>
              <m:t>i</m:t>
            </m:r>
          </m:sub>
        </m:sSub>
        <m:r>
          <m:rPr>
            <m:sty m:val="p"/>
          </m:rPr>
          <m:t>&gt;</m:t>
        </m:r>
        <m:r>
          <m:t>0</m:t>
        </m:r>
      </m:oMath>
      <w:r>
        <w:rPr>
          <w:i/>
          <w:iCs/>
        </w:rPr>
        <w:t xml:space="preserve">, since</w:t>
      </w:r>
      <w:r>
        <w:rPr>
          <w:i/>
          <w:iCs/>
        </w:rPr>
        <w:t xml:space="preserve"> </w:t>
      </w:r>
      <m:oMath>
        <m:sSub>
          <m:e>
            <m:r>
              <m:t>α</m:t>
            </m:r>
          </m:e>
          <m:sub>
            <m:r>
              <m:t>i</m:t>
            </m:r>
          </m:sub>
        </m:sSub>
        <m:r>
          <m:rPr>
            <m:sty m:val="p"/>
          </m:rPr>
          <m:t>&gt;</m:t>
        </m:r>
        <m:r>
          <m:t>0</m:t>
        </m:r>
      </m:oMath>
      <w:r>
        <w:rPr>
          <w:i/>
          <w:iCs/>
        </w:rPr>
        <w:t xml:space="preserve">.</w:t>
      </w:r>
      <w:r>
        <w:br/>
      </w:r>
      <w:r>
        <w:rPr>
          <w:i/>
          <w:i/>
          <w:iCs/>
          <w:iCs/>
        </w:rPr>
        <w:t xml:space="preserve">Geometric origin:</w:t>
      </w:r>
      <w:r>
        <w:rPr>
          <w:i/>
          <w:iCs/>
        </w:rPr>
        <w:t xml:space="preserve"> </w:t>
      </w:r>
      <w:r>
        <w:rPr>
          <w:i/>
          <w:iCs/>
        </w:rPr>
        <w:t xml:space="preserve">Increasing</w:t>
      </w:r>
      <w:r>
        <w:rPr>
          <w:i/>
          <w:iCs/>
        </w:rPr>
        <w:t xml:space="preserve"> </w:t>
      </w:r>
      <m:oMath>
        <m:sSub>
          <m:e>
            <m:r>
              <m:t>θ</m:t>
            </m:r>
          </m:e>
          <m:sub>
            <m:r>
              <m:t>i</m:t>
            </m:r>
          </m:sub>
        </m:sSub>
      </m:oMath>
      <w:r>
        <w:rPr>
          <w:i/>
          <w:iCs/>
        </w:rPr>
        <w:t xml:space="preserve"> </w:t>
      </w:r>
      <w:r>
        <w:rPr>
          <w:i/>
          <w:iCs/>
        </w:rPr>
        <w:t xml:space="preserve">increases the signal amplitude, making the distribution more sensitive to</w:t>
      </w:r>
      <w:r>
        <w:rPr>
          <w:i/>
          <w:iCs/>
        </w:rPr>
        <w:t xml:space="preserve"> </w:t>
      </w:r>
      <m:oMath>
        <m:sSub>
          <m:e>
            <m:r>
              <m:t>θ</m:t>
            </m:r>
          </m:e>
          <m:sub>
            <m:r>
              <m:t>i</m:t>
            </m:r>
          </m:sub>
        </m:sSub>
      </m:oMath>
      <w:r>
        <w:rPr>
          <w:i/>
          <w:iCs/>
        </w:rPr>
        <w:t xml:space="preserve"> </w:t>
      </w:r>
      <w:r>
        <w:rPr>
          <w:i/>
          <w:iCs/>
        </w:rPr>
        <w:t xml:space="preserve">and increasing the Fisher information along that axis.</w:t>
      </w:r>
    </w:p>
    <w:p>
      <w:pPr>
        <w:numPr>
          <w:ilvl w:val="0"/>
          <w:numId w:val="1001"/>
        </w:numPr>
      </w:pPr>
      <w:r>
        <w:rPr>
          <w:b/>
          <w:bCs/>
          <w:i/>
          <w:iCs/>
        </w:rPr>
        <w:t xml:space="preserve">Homogeneity.</w:t>
      </w:r>
      <w:r>
        <w:rPr>
          <w:i/>
          <w:iCs/>
        </w:rPr>
        <w:t xml:space="preserve"> </w:t>
      </w:r>
      <m:oMath>
        <m:r>
          <m:t>E</m:t>
        </m:r>
        <m:r>
          <m:rPr>
            <m:sty m:val="p"/>
          </m:rPr>
          <m:t>(</m:t>
        </m:r>
        <m:r>
          <m:t>λ</m:t>
        </m:r>
        <m:r>
          <m:rPr>
            <m:sty m:val="bi"/>
          </m:rPr>
          <m:t>θ</m:t>
        </m:r>
        <m:r>
          <m:rPr>
            <m:sty m:val="p"/>
          </m:rPr>
          <m:t>)</m:t>
        </m:r>
        <m:r>
          <m:rPr>
            <m:sty m:val="p"/>
          </m:rPr>
          <m:t>=</m:t>
        </m:r>
        <m:sSup>
          <m:e>
            <m:r>
              <m:t>λ</m:t>
            </m:r>
          </m:e>
          <m:sup>
            <m:r>
              <m:rPr>
                <m:sty m:val="p"/>
              </m:rPr>
              <m:t>∑</m:t>
            </m:r>
            <m:sSub>
              <m:e>
                <m:r>
                  <m:t>α</m:t>
                </m:r>
              </m:e>
              <m:sub>
                <m:r>
                  <m:t>i</m:t>
                </m:r>
              </m:sub>
            </m:sSub>
          </m:sup>
        </m:sSup>
        <m:r>
          <m:t>E</m:t>
        </m:r>
        <m:r>
          <m:rPr>
            <m:sty m:val="p"/>
          </m:rPr>
          <m:t>(</m:t>
        </m:r>
        <m:r>
          <m:rPr>
            <m:sty m:val="bi"/>
          </m:rPr>
          <m:t>θ</m:t>
        </m:r>
        <m:r>
          <m:rPr>
            <m:sty m:val="p"/>
          </m:rPr>
          <m:t>)</m:t>
        </m:r>
      </m:oMath>
      <w:r>
        <w:rPr>
          <w:i/>
          <w:iCs/>
        </w:rPr>
        <w:t xml:space="preserve"> </w:t>
      </w:r>
      <w:r>
        <w:rPr>
          <w:i/>
          <w:iCs/>
        </w:rPr>
        <w:t xml:space="preserve">for all</w:t>
      </w:r>
      <w:r>
        <w:rPr>
          <w:i/>
          <w:iCs/>
        </w:rPr>
        <w:t xml:space="preserve"> </w:t>
      </w:r>
      <m:oMath>
        <m:r>
          <m:t>λ</m:t>
        </m:r>
        <m:r>
          <m:rPr>
            <m:sty m:val="p"/>
          </m:rPr>
          <m:t>&gt;</m:t>
        </m:r>
        <m:r>
          <m:t>0</m:t>
        </m:r>
      </m:oMath>
      <w:r>
        <w:rPr>
          <w:i/>
          <w:iCs/>
        </w:rPr>
        <w:t xml:space="preserve">.</w:t>
      </w:r>
      <w:r>
        <w:br/>
      </w:r>
      <w:r>
        <w:rPr>
          <w:i/>
          <w:i/>
          <w:iCs/>
          <w:iCs/>
        </w:rPr>
        <w:t xml:space="preserve">Geometric origin:</w:t>
      </w:r>
      <w:r>
        <w:rPr>
          <w:i/>
          <w:iCs/>
        </w:rPr>
        <w:t xml:space="preserve"> </w:t>
      </w:r>
      <w:r>
        <w:rPr>
          <w:i/>
          <w:iCs/>
        </w:rPr>
        <w:t xml:space="preserve">The power-law structure of the Fisher information produces a homogeneous volume density. The degree of homogeneity</w:t>
      </w:r>
      <w:r>
        <w:rPr>
          <w:i/>
          <w:iCs/>
        </w:rPr>
        <w:t xml:space="preserve"> </w:t>
      </w:r>
      <m:oMath>
        <m:r>
          <m:t>α</m:t>
        </m:r>
        <m:r>
          <m:rPr>
            <m:sty m:val="p"/>
          </m:rPr>
          <m:t>=</m:t>
        </m:r>
        <m:r>
          <m:rPr>
            <m:sty m:val="p"/>
          </m:rPr>
          <m:t>∑</m:t>
        </m:r>
        <m:sSub>
          <m:e>
            <m:r>
              <m:t>α</m:t>
            </m:r>
          </m:e>
          <m:sub>
            <m:r>
              <m:t>i</m:t>
            </m:r>
          </m:sub>
        </m:sSub>
      </m:oMath>
      <w:r>
        <w:rPr>
          <w:i/>
          <w:iCs/>
        </w:rPr>
        <w:t xml:space="preserve"> </w:t>
      </w:r>
      <w:r>
        <w:rPr>
          <w:i/>
          <w:iCs/>
        </w:rPr>
        <w:t xml:space="preserve">is the total elasticity of informational resolution.</w:t>
      </w:r>
    </w:p>
    <w:p>
      <w:pPr>
        <w:numPr>
          <w:ilvl w:val="0"/>
          <w:numId w:val="1001"/>
        </w:numPr>
      </w:pPr>
      <w:r>
        <w:rPr>
          <w:b/>
          <w:bCs/>
          <w:i/>
          <w:iCs/>
        </w:rPr>
        <w:t xml:space="preserve">Separability.</w:t>
      </w:r>
      <w:r>
        <w:rPr>
          <w:i/>
          <w:iCs/>
        </w:rPr>
        <w:t xml:space="preserve"> </w:t>
      </w:r>
      <m:oMath>
        <m:r>
          <m:t>E</m:t>
        </m:r>
        <m:r>
          <m:rPr>
            <m:sty m:val="p"/>
          </m:rPr>
          <m:t>(</m:t>
        </m:r>
        <m:r>
          <m:rPr>
            <m:sty m:val="bi"/>
          </m:rPr>
          <m:t>θ</m:t>
        </m:r>
        <m:r>
          <m:rPr>
            <m:sty m:val="p"/>
          </m:rPr>
          <m:t>)</m:t>
        </m:r>
        <m:r>
          <m:rPr>
            <m:sty m:val="p"/>
          </m:rPr>
          <m:t>=</m:t>
        </m:r>
        <m:r>
          <m:rPr>
            <m:sty m:val="p"/>
          </m:rPr>
          <m:t>∏</m:t>
        </m:r>
        <m:sSub>
          <m:e>
            <m:r>
              <m:t>h</m:t>
            </m:r>
          </m:e>
          <m:sub>
            <m:r>
              <m:t>i</m:t>
            </m:r>
          </m:sub>
        </m:sSub>
        <m:r>
          <m:rPr>
            <m:sty m:val="p"/>
          </m:rPr>
          <m:t>(</m:t>
        </m:r>
        <m:sSub>
          <m:e>
            <m:r>
              <m:t>θ</m:t>
            </m:r>
          </m:e>
          <m:sub>
            <m:r>
              <m:t>i</m:t>
            </m:r>
          </m:sub>
        </m:sSub>
        <m:r>
          <m:rPr>
            <m:sty m:val="p"/>
          </m:rPr>
          <m:t>)</m:t>
        </m:r>
      </m:oMath>
      <w:r>
        <w:rPr>
          <w:i/>
          <w:iCs/>
        </w:rPr>
        <w:t xml:space="preserve"> </w:t>
      </w:r>
      <w:r>
        <w:rPr>
          <w:i/>
          <w:iCs/>
        </w:rPr>
        <w:t xml:space="preserve">with</w:t>
      </w:r>
      <w:r>
        <w:rPr>
          <w:i/>
          <w:iCs/>
        </w:rPr>
        <w:t xml:space="preserve"> </w:t>
      </w:r>
      <m:oMath>
        <m:sSub>
          <m:e>
            <m:r>
              <m:t>h</m:t>
            </m:r>
          </m:e>
          <m:sub>
            <m:r>
              <m:t>i</m:t>
            </m:r>
          </m:sub>
        </m:sSub>
        <m:r>
          <m:rPr>
            <m:sty m:val="p"/>
          </m:rPr>
          <m:t>=</m:t>
        </m:r>
        <m:rad>
          <m:radPr>
            <m:degHide m:val="on"/>
          </m:radPr>
          <m:deg/>
          <m:e>
            <m:sSub>
              <m:e>
                <m:r>
                  <m:t>g</m:t>
                </m:r>
              </m:e>
              <m:sub>
                <m:r>
                  <m:t>i</m:t>
                </m:r>
                <m:r>
                  <m:t>i</m:t>
                </m:r>
              </m:sub>
            </m:sSub>
          </m:e>
        </m:rad>
      </m:oMath>
      <w:r>
        <w:rPr>
          <w:i/>
          <w:iCs/>
        </w:rPr>
        <w:t xml:space="preserve">.</w:t>
      </w:r>
      <w:r>
        <w:br/>
      </w:r>
      <w:r>
        <w:rPr>
          <w:i/>
          <w:i/>
          <w:iCs/>
          <w:iCs/>
        </w:rPr>
        <w:t xml:space="preserve">Geometric origin:</w:t>
      </w:r>
      <w:r>
        <w:rPr>
          <w:i/>
          <w:iCs/>
        </w:rPr>
        <w:t xml:space="preserve"> </w:t>
      </w:r>
      <w:r>
        <w:rPr>
          <w:i/>
          <w:iCs/>
        </w:rPr>
        <w:t xml:space="preserve">Statistical independence of the channels produces a diagonal Fisher metric, and the determinant of a diagonal matrix is the product of its diagonal entries.</w:t>
      </w:r>
    </w:p>
    <w:bookmarkEnd w:id="28"/>
    <w:p>
      <w:pPr>
        <w:pStyle w:val="FirstParagraph"/>
      </w:pPr>
      <w:r>
        <w:t xml:space="preserve">The axioms are thus not arbitrary constraints imposed on a composition function. They are the algebraic shadows of the geometry of independent information channels: independence</w:t>
      </w:r>
      <w:r>
        <w:t xml:space="preserve"> </w:t>
      </w:r>
      <m:oMath>
        <m:r>
          <m:rPr>
            <m:sty m:val="p"/>
          </m:rPr>
          <m:t>→</m:t>
        </m:r>
      </m:oMath>
      <w:r>
        <w:t xml:space="preserve"> </w:t>
      </w:r>
      <w:r>
        <w:t xml:space="preserve">diagonal metric</w:t>
      </w:r>
      <w:r>
        <w:t xml:space="preserve"> </w:t>
      </w:r>
      <m:oMath>
        <m:r>
          <m:rPr>
            <m:sty m:val="p"/>
          </m:rPr>
          <m:t>→</m:t>
        </m:r>
      </m:oMath>
      <w:r>
        <w:t xml:space="preserve"> </w:t>
      </w:r>
      <w:r>
        <w:t xml:space="preserve">multiplicative determinant</w:t>
      </w:r>
      <w:r>
        <w:t xml:space="preserve"> </w:t>
      </w:r>
      <m:oMath>
        <m:r>
          <m:rPr>
            <m:sty m:val="p"/>
          </m:rPr>
          <m:t>→</m:t>
        </m:r>
      </m:oMath>
      <w:r>
        <w:t xml:space="preserve"> </w:t>
      </w:r>
      <w:r>
        <w:t xml:space="preserve">separability; degenerate channel</w:t>
      </w:r>
      <w:r>
        <w:t xml:space="preserve"> </w:t>
      </w:r>
      <m:oMath>
        <m:r>
          <m:rPr>
            <m:sty m:val="p"/>
          </m:rPr>
          <m:t>→</m:t>
        </m:r>
      </m:oMath>
      <w:r>
        <w:t xml:space="preserve"> </w:t>
      </w:r>
      <w:r>
        <w:t xml:space="preserve">vanishing Fisher info</w:t>
      </w:r>
      <w:r>
        <w:t xml:space="preserve"> </w:t>
      </w:r>
      <m:oMath>
        <m:r>
          <m:rPr>
            <m:sty m:val="p"/>
          </m:rPr>
          <m:t>→</m:t>
        </m:r>
      </m:oMath>
      <w:r>
        <w:t xml:space="preserve"> </w:t>
      </w:r>
      <w:r>
        <w:t xml:space="preserve">zero determinant</w:t>
      </w:r>
      <w:r>
        <w:t xml:space="preserve"> </w:t>
      </w:r>
      <m:oMath>
        <m:r>
          <m:rPr>
            <m:sty m:val="p"/>
          </m:rPr>
          <m:t>→</m:t>
        </m:r>
      </m:oMath>
      <w:r>
        <w:t xml:space="preserve"> </w:t>
      </w:r>
      <w:r>
        <w:t xml:space="preserve">zero-collapse; nonlinear response</w:t>
      </w:r>
      <w:r>
        <w:t xml:space="preserve"> </w:t>
      </w:r>
      <m:oMath>
        <m:r>
          <m:rPr>
            <m:sty m:val="p"/>
          </m:rPr>
          <m:t>→</m:t>
        </m:r>
      </m:oMath>
      <w:r>
        <w:t xml:space="preserve"> </w:t>
      </w:r>
      <w:r>
        <w:t xml:space="preserve">power-law Fisher info</w:t>
      </w:r>
      <w:r>
        <w:t xml:space="preserve"> </w:t>
      </w:r>
      <m:oMath>
        <m:r>
          <m:rPr>
            <m:sty m:val="p"/>
          </m:rPr>
          <m:t>→</m:t>
        </m:r>
      </m:oMath>
      <w:r>
        <w:t xml:space="preserve"> </w:t>
      </w:r>
      <w:r>
        <w:t xml:space="preserve">homogeneity.</w:t>
      </w:r>
    </w:p>
    <w:bookmarkEnd w:id="29"/>
    <w:bookmarkStart w:id="32" w:name="sec:duality"/>
    <w:p>
      <w:pPr>
        <w:pStyle w:val="Heading1"/>
      </w:pPr>
      <w:r>
        <w:t xml:space="preserve">The Curvature-Volume Duality</w:t>
      </w:r>
    </w:p>
    <w:bookmarkStart w:id="30" w:name="two-invariants-on-product-manifolds"/>
    <w:p>
      <w:pPr>
        <w:pStyle w:val="Heading2"/>
      </w:pPr>
      <w:r>
        <w:t xml:space="preserve">Two invariants on product manifolds</w:t>
      </w:r>
    </w:p>
    <w:p>
      <w:pPr>
        <w:pStyle w:val="FirstParagraph"/>
      </w:pPr>
      <w:r>
        <w:t xml:space="preserve">Let</w:t>
      </w:r>
      <w:r>
        <w:t xml:space="preserve"> </w:t>
      </w:r>
      <m:oMath>
        <m:r>
          <m:rPr>
            <m:sty m:val="p"/>
          </m:rPr>
          <m:t>(</m:t>
        </m:r>
        <m:r>
          <m:rPr>
            <m:scr m:val="script"/>
            <m:sty m:val="p"/>
          </m:rPr>
          <m:t>M</m:t>
        </m:r>
        <m:r>
          <m:rPr>
            <m:sty m:val="p"/>
          </m:rPr>
          <m:t>,</m:t>
        </m:r>
        <m:r>
          <m:t>g</m:t>
        </m:r>
        <m:r>
          <m:rPr>
            <m:sty m:val="p"/>
          </m:rPr>
          <m:t>)</m:t>
        </m:r>
        <m:r>
          <m:rPr>
            <m:sty m:val="p"/>
          </m:rPr>
          <m:t>=</m:t>
        </m:r>
        <m:r>
          <m:rPr>
            <m:sty m:val="p"/>
          </m:rPr>
          <m:t>(</m:t>
        </m:r>
        <m:sSub>
          <m:e>
            <m:r>
              <m:rPr>
                <m:scr m:val="script"/>
                <m:sty m:val="p"/>
              </m:rPr>
              <m:t>M</m:t>
            </m:r>
          </m:e>
          <m:sub>
            <m:r>
              <m:t>1</m:t>
            </m:r>
          </m:sub>
        </m:sSub>
        <m:r>
          <m:rPr>
            <m:sty m:val="p"/>
          </m:rPr>
          <m:t>,</m:t>
        </m:r>
        <m:sSub>
          <m:e>
            <m:r>
              <m:t>g</m:t>
            </m:r>
          </m:e>
          <m:sub>
            <m:r>
              <m:t>1</m:t>
            </m:r>
          </m:sub>
        </m:sSub>
        <m:r>
          <m:rPr>
            <m:sty m:val="p"/>
          </m:rPr>
          <m:t>)</m:t>
        </m:r>
        <m:r>
          <m:rPr>
            <m:sty m:val="p"/>
          </m:rPr>
          <m:t>×</m:t>
        </m:r>
        <m:r>
          <m:rPr>
            <m:sty m:val="p"/>
          </m:rPr>
          <m:t>⋯</m:t>
        </m:r>
        <m:r>
          <m:rPr>
            <m:sty m:val="p"/>
          </m:rPr>
          <m:t>×</m:t>
        </m:r>
        <m:r>
          <m:rPr>
            <m:sty m:val="p"/>
          </m:rPr>
          <m:t>(</m:t>
        </m:r>
        <m:sSub>
          <m:e>
            <m:r>
              <m:rPr>
                <m:scr m:val="script"/>
                <m:sty m:val="p"/>
              </m:rPr>
              <m:t>M</m:t>
            </m:r>
          </m:e>
          <m:sub>
            <m:r>
              <m:t>N</m:t>
            </m:r>
          </m:sub>
        </m:sSub>
        <m:r>
          <m:rPr>
            <m:sty m:val="p"/>
          </m:rPr>
          <m:t>,</m:t>
        </m:r>
        <m:sSub>
          <m:e>
            <m:r>
              <m:t>g</m:t>
            </m:r>
          </m:e>
          <m:sub>
            <m:r>
              <m:t>N</m:t>
            </m:r>
          </m:sub>
        </m:sSub>
        <m:r>
          <m:rPr>
            <m:sty m:val="p"/>
          </m:rPr>
          <m:t>)</m:t>
        </m:r>
      </m:oMath>
      <w:r>
        <w:t xml:space="preserve"> </w:t>
      </w:r>
      <w:r>
        <w:t xml:space="preserve">be a product Riemannian manifold. Two canonical scalar quantities are defined on</w:t>
      </w:r>
      <w:r>
        <w:t xml:space="preserve"> </w:t>
      </w:r>
      <m:oMath>
        <m:r>
          <m:rPr>
            <m:scr m:val="script"/>
            <m:sty m:val="p"/>
          </m:rPr>
          <m:t>M</m:t>
        </m:r>
      </m:oMath>
      <w:r>
        <w:t xml:space="preserve">:</w:t>
      </w:r>
    </w:p>
    <w:p>
      <w:pPr>
        <w:pStyle w:val="BodyText"/>
      </w:pPr>
      <w:r>
        <w:rPr>
          <w:i/>
          <w:iCs/>
        </w:rPr>
        <w:t xml:space="preserve">Scalar curvature.</w:t>
      </w:r>
      <w:r>
        <w:t xml:space="preserve"> </w:t>
      </w:r>
      <w:r>
        <w:t xml:space="preserve">The Ricci scalar</w:t>
      </w:r>
      <w:r>
        <w:t xml:space="preserve"> </w:t>
      </w:r>
      <m:oMath>
        <m:r>
          <m:t>R</m:t>
        </m:r>
      </m:oMath>
      <w:r>
        <w:t xml:space="preserve"> </w:t>
      </w:r>
      <w:r>
        <w:t xml:space="preserve">is additive under Cartesian products</w:t>
      </w:r>
      <w:r>
        <w:t xml:space="preserve"> </w:t>
      </w:r>
      <w:r>
        <w:t xml:space="preserve">:</w:t>
      </w:r>
    </w:p>
    <w:p>
      <w:pPr>
        <w:pStyle w:val="BodyText"/>
      </w:pPr>
      <m:oMathPara>
        <m:oMathParaPr>
          <m:jc m:val="center"/>
        </m:oMathParaPr>
        <m:oMath>
          <m:r>
            <m:t>R</m:t>
          </m:r>
          <m:r>
            <m:rPr>
              <m:sty m:val="p"/>
            </m:rPr>
            <m:t>(</m:t>
          </m:r>
          <m:sSub>
            <m:e>
              <m:r>
                <m:rPr>
                  <m:scr m:val="script"/>
                  <m:sty m:val="p"/>
                </m:rPr>
                <m:t>M</m:t>
              </m:r>
            </m:e>
            <m:sub>
              <m:r>
                <m:t>1</m:t>
              </m:r>
            </m:sub>
          </m:sSub>
          <m:r>
            <m:rPr>
              <m:sty m:val="p"/>
            </m:rPr>
            <m:t>×</m:t>
          </m:r>
          <m:r>
            <m:rPr>
              <m:sty m:val="p"/>
            </m:rPr>
            <m:t>⋯</m:t>
          </m:r>
          <m:r>
            <m:rPr>
              <m:sty m:val="p"/>
            </m:rPr>
            <m:t>×</m:t>
          </m:r>
          <m:sSub>
            <m:e>
              <m:r>
                <m:rPr>
                  <m:scr m:val="script"/>
                  <m:sty m:val="p"/>
                </m:rPr>
                <m:t>M</m:t>
              </m:r>
            </m:e>
            <m:sub>
              <m:r>
                <m:t>N</m:t>
              </m:r>
            </m:sub>
          </m:sSub>
          <m:r>
            <m:rPr>
              <m:sty m:val="p"/>
            </m:rPr>
            <m:t>)</m:t>
          </m:r>
          <m:r>
            <m:rPr>
              <m:sty m:val="p"/>
            </m:rPr>
            <m:t>=</m:t>
          </m:r>
          <m:nary>
            <m:naryPr>
              <m:chr m:val="∑"/>
              <m:limLoc m:val="undOvr"/>
              <m:subHide m:val="off"/>
              <m:supHide m:val="off"/>
            </m:naryPr>
            <m:sub>
              <m:r>
                <m:t>i</m:t>
              </m:r>
              <m:r>
                <m:rPr>
                  <m:sty m:val="p"/>
                </m:rPr>
                <m:t>=</m:t>
              </m:r>
              <m:r>
                <m:t>1</m:t>
              </m:r>
            </m:sub>
            <m:sup>
              <m:r>
                <m:t>N</m:t>
              </m:r>
            </m:sup>
            <m:e>
              <m:r>
                <m:t>R</m:t>
              </m:r>
            </m:e>
          </m:nary>
          <m:r>
            <m:rPr>
              <m:sty m:val="p"/>
            </m:rPr>
            <m:t>(</m:t>
          </m:r>
          <m:sSub>
            <m:e>
              <m:r>
                <m:rPr>
                  <m:scr m:val="script"/>
                  <m:sty m:val="p"/>
                </m:rPr>
                <m:t>M</m:t>
              </m:r>
            </m:e>
            <m:sub>
              <m:r>
                <m:t>i</m:t>
              </m:r>
            </m:sub>
          </m:sSub>
          <m:r>
            <m:rPr>
              <m:sty m:val="p"/>
            </m:rPr>
            <m:t>)</m:t>
          </m:r>
          <m:r>
            <m:rPr>
              <m:sty m:val="p"/>
            </m:rPr>
            <m:t>.</m:t>
          </m:r>
        </m:oMath>
      </m:oMathPara>
    </w:p>
    <w:p>
      <w:pPr>
        <w:pStyle w:val="FirstParagraph"/>
      </w:pPr>
      <w:r>
        <w:t xml:space="preserve">This is a standard result in Riemannian geometry, sometimes taken as an axiom characterizing scalar curvature.</w:t>
      </w:r>
    </w:p>
    <w:p>
      <w:pPr>
        <w:pStyle w:val="BodyText"/>
      </w:pPr>
      <w:r>
        <w:rPr>
          <w:i/>
          <w:iCs/>
        </w:rPr>
        <w:t xml:space="preserve">Volume density.</w:t>
      </w:r>
      <w:r>
        <w:t xml:space="preserve"> </w:t>
      </w:r>
      <w:r>
        <w:t xml:space="preserve">The volume density is multiplicative (Theorem </w:t>
      </w:r>
      <w:hyperlink w:anchor="thm:factor">
        <w:r>
          <w:rPr>
            <w:rStyle w:val="Hyperlink"/>
          </w:rPr>
          <w:t xml:space="preserve">3</w:t>
        </w:r>
      </w:hyperlink>
      <w:r>
        <w:t xml:space="preserve">):</w:t>
      </w:r>
    </w:p>
    <w:p>
      <w:pPr>
        <w:pStyle w:val="BodyText"/>
      </w:pPr>
      <m:oMathPara>
        <m:oMathParaPr>
          <m:jc m:val="center"/>
        </m:oMathParaPr>
        <m:oMath>
          <m:rad>
            <m:radPr>
              <m:degHide m:val="on"/>
            </m:radPr>
            <m:deg/>
            <m:e>
              <m:r>
                <m:rPr>
                  <m:sty m:val="p"/>
                </m:rPr>
                <m:t>det</m:t>
              </m:r>
              <m:r>
                <m:t>g</m:t>
              </m:r>
              <m:r>
                <m:rPr>
                  <m:sty m:val="p"/>
                </m:rPr>
                <m:t>(</m:t>
              </m:r>
              <m:sSub>
                <m:e>
                  <m:r>
                    <m:rPr>
                      <m:scr m:val="script"/>
                      <m:sty m:val="p"/>
                    </m:rPr>
                    <m:t>M</m:t>
                  </m:r>
                </m:e>
                <m:sub>
                  <m:r>
                    <m:t>1</m:t>
                  </m:r>
                </m:sub>
              </m:sSub>
              <m:r>
                <m:rPr>
                  <m:sty m:val="p"/>
                </m:rPr>
                <m:t>×</m:t>
              </m:r>
              <m:r>
                <m:rPr>
                  <m:sty m:val="p"/>
                </m:rPr>
                <m:t>⋯</m:t>
              </m:r>
              <m:r>
                <m:rPr>
                  <m:sty m:val="p"/>
                </m:rPr>
                <m:t>×</m:t>
              </m:r>
              <m:sSub>
                <m:e>
                  <m:r>
                    <m:rPr>
                      <m:scr m:val="script"/>
                      <m:sty m:val="p"/>
                    </m:rPr>
                    <m:t>M</m:t>
                  </m:r>
                </m:e>
                <m:sub>
                  <m:r>
                    <m:t>N</m:t>
                  </m:r>
                </m:sub>
              </m:sSub>
              <m:r>
                <m:rPr>
                  <m:sty m:val="p"/>
                </m:rPr>
                <m:t>)</m:t>
              </m:r>
            </m:e>
          </m:rad>
          <m:r>
            <m:rPr>
              <m:sty m:val="p"/>
            </m:rPr>
            <m:t>=</m:t>
          </m:r>
          <m:nary>
            <m:naryPr>
              <m:chr m:val="∏"/>
              <m:limLoc m:val="undOvr"/>
              <m:subHide m:val="off"/>
              <m:supHide m:val="off"/>
            </m:naryPr>
            <m:sub>
              <m:r>
                <m:t>i</m:t>
              </m:r>
              <m:r>
                <m:rPr>
                  <m:sty m:val="p"/>
                </m:rPr>
                <m:t>=</m:t>
              </m:r>
              <m:r>
                <m:t>1</m:t>
              </m:r>
            </m:sub>
            <m:sup>
              <m:r>
                <m:t>N</m:t>
              </m:r>
            </m:sup>
            <m:e>
              <m:rad>
                <m:radPr>
                  <m:degHide m:val="on"/>
                </m:radPr>
                <m:deg/>
                <m:e>
                  <m:r>
                    <m:rPr>
                      <m:sty m:val="p"/>
                    </m:rPr>
                    <m:t>det</m:t>
                  </m:r>
                  <m:sSub>
                    <m:e>
                      <m:r>
                        <m:t>g</m:t>
                      </m:r>
                    </m:e>
                    <m:sub>
                      <m:r>
                        <m:t>i</m:t>
                      </m:r>
                    </m:sub>
                  </m:sSub>
                  <m:r>
                    <m:rPr>
                      <m:sty m:val="p"/>
                    </m:rPr>
                    <m:t>(</m:t>
                  </m:r>
                  <m:sSub>
                    <m:e>
                      <m:r>
                        <m:rPr>
                          <m:scr m:val="script"/>
                          <m:sty m:val="p"/>
                        </m:rPr>
                        <m:t>M</m:t>
                      </m:r>
                    </m:e>
                    <m:sub>
                      <m:r>
                        <m:t>i</m:t>
                      </m:r>
                    </m:sub>
                  </m:sSub>
                  <m:r>
                    <m:rPr>
                      <m:sty m:val="p"/>
                    </m:rPr>
                    <m:t>)</m:t>
                  </m:r>
                </m:e>
              </m:rad>
            </m:e>
          </m:nary>
          <m:r>
            <m:rPr>
              <m:sty m:val="p"/>
            </m:rPr>
            <m:t>.</m:t>
          </m:r>
        </m:oMath>
      </m:oMathPara>
    </w:p>
    <w:bookmarkEnd w:id="30"/>
    <w:bookmarkStart w:id="31" w:name="geometric-content-of-the-scope-condition"/>
    <w:p>
      <w:pPr>
        <w:pStyle w:val="Heading2"/>
      </w:pPr>
      <w:r>
        <w:t xml:space="preserve">Geometric content of the scope condition</w:t>
      </w:r>
    </w:p>
    <w:p>
      <w:pPr>
        <w:pStyle w:val="FirstParagraph"/>
      </w:pPr>
      <w:r>
        <w:t xml:space="preserve">In</w:t>
      </w:r>
      <w:r>
        <w:t xml:space="preserve"> </w:t>
      </w:r>
      <w:r>
        <w:t xml:space="preserve">, the scope condition distinguishes two regimes: additive composition (for substitutable dimensions) and multiplicative composition (for non-substitutable dimensions). The curvature-volume duality gives this scope condition geometric content.</w:t>
      </w:r>
    </w:p>
    <w:p>
      <w:pPr>
        <w:pStyle w:val="BodyText"/>
      </w:pPr>
      <w:r>
        <w:rPr>
          <w:i/>
          <w:iCs/>
        </w:rPr>
        <w:t xml:space="preserve">Volume measures total distinguishable structure.</w:t>
      </w:r>
      <w:r>
        <w:t xml:space="preserve"> </w:t>
      </w:r>
      <w:r>
        <w:t xml:space="preserve">The volume density</w:t>
      </w:r>
      <w:r>
        <w:t xml:space="preserve"> </w:t>
      </w:r>
      <m:oMath>
        <m:rad>
          <m:radPr>
            <m:degHide m:val="on"/>
          </m:radPr>
          <m:deg/>
          <m:e>
            <m:r>
              <m:rPr>
                <m:sty m:val="p"/>
              </m:rPr>
              <m:t>det</m:t>
            </m:r>
            <m:r>
              <m:t>g</m:t>
            </m:r>
          </m:e>
        </m:rad>
      </m:oMath>
      <w:r>
        <w:t xml:space="preserve"> </w:t>
      </w:r>
      <w:r>
        <w:t xml:space="preserve">counts the number of statistically distinguishable states per unit parameter volume. When one dimension degenerates (Fisher info</w:t>
      </w:r>
      <w:r>
        <w:t xml:space="preserve"> </w:t>
      </w:r>
      <m:oMath>
        <m:r>
          <m:rPr>
            <m:sty m:val="p"/>
          </m:rPr>
          <m:t>→</m:t>
        </m:r>
      </m:oMath>
      <w:r>
        <w:t xml:space="preserve"> </w:t>
      </w:r>
      <w:r>
        <w:t xml:space="preserve">0), the volume collapses: zero along any axis means zero total. This is the non-substitutable regime—each dimension is individually necessary for the system to have distinguishable structure.</w:t>
      </w:r>
    </w:p>
    <w:p>
      <w:pPr>
        <w:pStyle w:val="BodyText"/>
      </w:pPr>
      <w:r>
        <w:rPr>
          <w:i/>
          <w:iCs/>
        </w:rPr>
        <w:t xml:space="preserve">Curvature measures local geometric complexity.</w:t>
      </w:r>
      <w:r>
        <w:t xml:space="preserve"> </w:t>
      </w:r>
      <w:r>
        <w:t xml:space="preserve">Scalar curvature</w:t>
      </w:r>
      <w:r>
        <w:t xml:space="preserve"> </w:t>
      </w:r>
      <m:oMath>
        <m:r>
          <m:t>R</m:t>
        </m:r>
      </m:oMath>
      <w:r>
        <w:t xml:space="preserve"> </w:t>
      </w:r>
      <w:r>
        <w:t xml:space="preserve">quantifies how much the manifold deviates from flat geometry. When one dimension degenerates, its curvature contribution drops to zero, but the curvature contributions of other dimensions persist. Curvature is robust to single-dimension failure—other dimensions compensate. This is the substitutable regime.</w:t>
      </w:r>
    </w:p>
    <w:p>
      <w:pPr>
        <w:pStyle w:val="BodyText"/>
      </w:pPr>
      <w:r>
        <w:t xml:space="preserve">The same product manifold supports both invariants simultaneously. The physical question—whether a zero in one dimension annihilates the output or merely reduces it—determines which invariant is the relevant measure of the emergent property.</w:t>
      </w:r>
    </w:p>
    <w:bookmarkEnd w:id="31"/>
    <w:bookmarkEnd w:id="32"/>
    <w:bookmarkStart w:id="37" w:name="sec:discussion"/>
    <w:p>
      <w:pPr>
        <w:pStyle w:val="Heading1"/>
      </w:pPr>
      <w:r>
        <w:t xml:space="preserve">Discussion</w:t>
      </w:r>
    </w:p>
    <w:bookmarkStart w:id="33" w:name="the-layered-structure-of-the-result"/>
    <w:p>
      <w:pPr>
        <w:pStyle w:val="Heading2"/>
      </w:pPr>
      <w:r>
        <w:t xml:space="preserve">The layered structure of the result</w:t>
      </w:r>
    </w:p>
    <w:p>
      <w:pPr>
        <w:pStyle w:val="FirstParagraph"/>
      </w:pPr>
      <w:r>
        <w:t xml:space="preserve">We emphasize the layered nature of this paper’s contribution:</w:t>
      </w:r>
    </w:p>
    <w:p>
      <w:pPr>
        <w:pStyle w:val="BodyText"/>
      </w:pPr>
      <w:r>
        <w:rPr>
          <w:i/>
          <w:iCs/>
        </w:rPr>
        <w:t xml:space="preserve">Layer 1</w:t>
      </w:r>
      <w:r>
        <w:t xml:space="preserve"> </w:t>
      </w:r>
      <w:r>
        <w:t xml:space="preserve">(Theorem </w:t>
      </w:r>
      <w:hyperlink w:anchor="thm:factor">
        <w:r>
          <w:rPr>
            <w:rStyle w:val="Hyperlink"/>
          </w:rPr>
          <w:t xml:space="preserve">3</w:t>
        </w:r>
      </w:hyperlink>
      <w:r>
        <w:t xml:space="preserve">, geometric, unconditional): The volume density of a product manifold is multiplicative. This is standard Riemannian geometry, applied here to statistical manifolds. It establishes the multiplicative structure without any assumption about functional form.</w:t>
      </w:r>
    </w:p>
    <w:p>
      <w:pPr>
        <w:pStyle w:val="BodyText"/>
      </w:pPr>
      <w:r>
        <w:rPr>
          <w:i/>
          <w:iCs/>
        </w:rPr>
        <w:t xml:space="preserve">Layer 2</w:t>
      </w:r>
      <w:r>
        <w:t xml:space="preserve"> </w:t>
      </w:r>
      <w:r>
        <w:t xml:space="preserve">(Proposition </w:t>
      </w:r>
      <w:hyperlink w:anchor="prop:fisher">
        <w:r>
          <w:rPr>
            <w:rStyle w:val="Hyperlink"/>
          </w:rPr>
          <w:t xml:space="preserve">6</w:t>
        </w:r>
      </w:hyperlink>
      <w:r>
        <w:t xml:space="preserve">, model-specific): The power-law response channel gives Fisher information</w:t>
      </w:r>
      <w:r>
        <w:t xml:space="preserve"> </w:t>
      </w:r>
      <m:oMath>
        <m:sSub>
          <m:e>
            <m:r>
              <m:t>g</m:t>
            </m:r>
          </m:e>
          <m:sub>
            <m:r>
              <m:t>i</m:t>
            </m:r>
            <m:r>
              <m:t>i</m:t>
            </m:r>
          </m:sub>
        </m:sSub>
        <m:r>
          <m:rPr>
            <m:sty m:val="p"/>
          </m:rPr>
          <m:t>∝</m:t>
        </m:r>
        <m:sSubSup>
          <m:e>
            <m:r>
              <m:t>θ</m:t>
            </m:r>
          </m:e>
          <m:sub>
            <m:r>
              <m:t>i</m:t>
            </m:r>
          </m:sub>
          <m:sup>
            <m:r>
              <m:t>2</m:t>
            </m:r>
            <m:sSub>
              <m:e>
                <m:r>
                  <m:t>α</m:t>
                </m:r>
              </m:e>
              <m:sub>
                <m:r>
                  <m:t>i</m:t>
                </m:r>
              </m:sub>
            </m:sSub>
          </m:sup>
        </m:sSubSup>
      </m:oMath>
      <w:r>
        <w:t xml:space="preserve">. This is a specific statistical model. Different models would give different functional forms for</w:t>
      </w:r>
      <w:r>
        <w:t xml:space="preserve"> </w:t>
      </w:r>
      <m:oMath>
        <m:rad>
          <m:radPr>
            <m:degHide m:val="on"/>
          </m:radPr>
          <m:deg/>
          <m:e>
            <m:sSub>
              <m:e>
                <m:r>
                  <m:t>g</m:t>
                </m:r>
              </m:e>
              <m:sub>
                <m:r>
                  <m:t>i</m:t>
                </m:r>
                <m:r>
                  <m:t>i</m:t>
                </m:r>
              </m:sub>
            </m:sSub>
          </m:e>
        </m:rad>
      </m:oMath>
      <w:r>
        <w:t xml:space="preserve">, all multiplicative but not necessarily power laws.</w:t>
      </w:r>
    </w:p>
    <w:p>
      <w:pPr>
        <w:pStyle w:val="BodyText"/>
      </w:pPr>
      <w:r>
        <w:rPr>
          <w:i/>
          <w:iCs/>
        </w:rPr>
        <w:t xml:space="preserve">Layer 3</w:t>
      </w:r>
      <w:r>
        <w:t xml:space="preserve"> </w:t>
      </w:r>
      <w:r>
        <w:t xml:space="preserve">(domain-specific): The exponents</w:t>
      </w:r>
      <w:r>
        <w:t xml:space="preserve"> </w:t>
      </w:r>
      <m:oMath>
        <m:sSub>
          <m:e>
            <m:r>
              <m:t>α</m:t>
            </m:r>
          </m:e>
          <m:sub>
            <m:r>
              <m:t>i</m:t>
            </m:r>
          </m:sub>
        </m:sSub>
        <m:r>
          <m:rPr>
            <m:sty m:val="p"/>
          </m:rPr>
          <m:t>=</m:t>
        </m:r>
        <m:sSub>
          <m:e>
            <m:r>
              <m:t>q</m:t>
            </m:r>
          </m:e>
          <m:sub>
            <m:r>
              <m:t>i</m:t>
            </m:r>
          </m:sub>
        </m:sSub>
        <m:r>
          <m:rPr>
            <m:sty m:val="p"/>
          </m:rPr>
          <m:t>−</m:t>
        </m:r>
        <m:r>
          <m:t>1</m:t>
        </m:r>
      </m:oMath>
      <w:r>
        <w:t xml:space="preserve"> </w:t>
      </w:r>
      <w:r>
        <w:t xml:space="preserve">are determined by the response order of each dimension’s signal. These are empirical parameters, estimated from data. The geometry does not determine them; it determines the multiplicative structure within which they operate.</w:t>
      </w:r>
    </w:p>
    <w:p>
      <w:pPr>
        <w:pStyle w:val="BodyText"/>
      </w:pPr>
      <w:r>
        <w:t xml:space="preserve">The honest summary: geometry gives you multiplication; the specific model gives you the exponents.</w:t>
      </w:r>
    </w:p>
    <w:bookmarkEnd w:id="33"/>
    <w:bookmarkStart w:id="34" w:name="the-power-law-response-assumption"/>
    <w:p>
      <w:pPr>
        <w:pStyle w:val="Heading2"/>
      </w:pPr>
      <w:r>
        <w:t xml:space="preserve">The power-law response assumption</w:t>
      </w:r>
    </w:p>
    <w:p>
      <w:pPr>
        <w:pStyle w:val="FirstParagraph"/>
      </w:pPr>
      <w:r>
        <w:t xml:space="preserve">The power-law mean</w:t>
      </w:r>
      <w:r>
        <w:t xml:space="preserve"> </w:t>
      </w:r>
      <m:oMath>
        <m:r>
          <m:t>μ</m:t>
        </m:r>
        <m:r>
          <m:rPr>
            <m:sty m:val="p"/>
          </m:rPr>
          <m:t>(</m:t>
        </m:r>
        <m:r>
          <m:t>θ</m:t>
        </m:r>
        <m:r>
          <m:rPr>
            <m:sty m:val="p"/>
          </m:rPr>
          <m:t>)</m:t>
        </m:r>
        <m:r>
          <m:rPr>
            <m:sty m:val="p"/>
          </m:rPr>
          <m:t>=</m:t>
        </m:r>
        <m:sSup>
          <m:e>
            <m:r>
              <m:t>θ</m:t>
            </m:r>
          </m:e>
          <m:sup>
            <m:r>
              <m:t>q</m:t>
            </m:r>
          </m:sup>
        </m:sSup>
      </m:oMath>
      <w:r>
        <w:t xml:space="preserve"> </w:t>
      </w:r>
      <w:r>
        <w:t xml:space="preserve">is the simplest model that produces vanishing Fisher information at</w:t>
      </w:r>
      <w:r>
        <w:t xml:space="preserve"> </w:t>
      </w:r>
      <m:oMath>
        <m:r>
          <m:t>θ</m:t>
        </m:r>
        <m:r>
          <m:rPr>
            <m:sty m:val="p"/>
          </m:rPr>
          <m:t>=</m:t>
        </m:r>
        <m:r>
          <m:t>0</m:t>
        </m:r>
      </m:oMath>
      <w:r>
        <w:t xml:space="preserve">. It is not the only such model: any mean function</w:t>
      </w:r>
      <w:r>
        <w:t xml:space="preserve"> </w:t>
      </w:r>
      <m:oMath>
        <m:r>
          <m:t>μ</m:t>
        </m:r>
        <m:r>
          <m:rPr>
            <m:sty m:val="p"/>
          </m:rPr>
          <m:t>(</m:t>
        </m:r>
        <m:r>
          <m:t>θ</m:t>
        </m:r>
        <m:r>
          <m:rPr>
            <m:sty m:val="p"/>
          </m:rPr>
          <m:t>)</m:t>
        </m:r>
      </m:oMath>
      <w:r>
        <w:t xml:space="preserve"> </w:t>
      </w:r>
      <w:r>
        <w:t xml:space="preserve">with</w:t>
      </w:r>
      <w:r>
        <w:t xml:space="preserve"> </w:t>
      </w:r>
      <m:oMath>
        <m:r>
          <m:t>μ</m:t>
        </m:r>
        <m:r>
          <m:rPr>
            <m:sty m:val="p"/>
          </m:rPr>
          <m:t>(</m:t>
        </m:r>
        <m:r>
          <m:t>0</m:t>
        </m:r>
        <m:r>
          <m:rPr>
            <m:sty m:val="p"/>
          </m:rPr>
          <m:t>)</m:t>
        </m:r>
        <m:r>
          <m:rPr>
            <m:sty m:val="p"/>
          </m:rPr>
          <m:t>=</m:t>
        </m:r>
        <m:r>
          <m:t>0</m:t>
        </m:r>
      </m:oMath>
      <w:r>
        <w:t xml:space="preserve"> </w:t>
      </w:r>
      <w:r>
        <w:t xml:space="preserve">and</w:t>
      </w:r>
      <w:r>
        <w:t xml:space="preserve"> </w:t>
      </w:r>
      <m:oMath>
        <m:sSup>
          <m:e>
            <m:r>
              <m:t>μ</m:t>
            </m:r>
          </m:e>
          <m:sup>
            <m:r>
              <m:rPr>
                <m:sty m:val="p"/>
              </m:rPr>
              <m:t>′</m:t>
            </m:r>
          </m:sup>
        </m:sSup>
        <m:r>
          <m:rPr>
            <m:sty m:val="p"/>
          </m:rPr>
          <m:t>(</m:t>
        </m:r>
        <m:r>
          <m:t>0</m:t>
        </m:r>
        <m:r>
          <m:rPr>
            <m:sty m:val="p"/>
          </m:rPr>
          <m:t>)</m:t>
        </m:r>
        <m:r>
          <m:rPr>
            <m:sty m:val="p"/>
          </m:rPr>
          <m:t>=</m:t>
        </m:r>
        <m:r>
          <m:t>0</m:t>
        </m:r>
      </m:oMath>
      <w:r>
        <w:t xml:space="preserve"> </w:t>
      </w:r>
      <w:r>
        <w:t xml:space="preserve">will have</w:t>
      </w:r>
      <w:r>
        <w:t xml:space="preserve"> </w:t>
      </w:r>
      <m:oMath>
        <m:r>
          <m:t>g</m:t>
        </m:r>
        <m:r>
          <m:rPr>
            <m:sty m:val="p"/>
          </m:rPr>
          <m:t>(</m:t>
        </m:r>
        <m:r>
          <m:t>θ</m:t>
        </m:r>
        <m:r>
          <m:rPr>
            <m:sty m:val="p"/>
          </m:rPr>
          <m:t>)</m:t>
        </m:r>
        <m:r>
          <m:rPr>
            <m:sty m:val="p"/>
          </m:rPr>
          <m:t>∝</m:t>
        </m:r>
        <m:r>
          <m:rPr>
            <m:sty m:val="p"/>
          </m:rPr>
          <m:t>[</m:t>
        </m:r>
        <m:sSup>
          <m:e>
            <m:r>
              <m:t>μ</m:t>
            </m:r>
          </m:e>
          <m:sup>
            <m:r>
              <m:rPr>
                <m:sty m:val="p"/>
              </m:rPr>
              <m:t>′</m:t>
            </m:r>
          </m:sup>
        </m:sSup>
        <m:r>
          <m:rPr>
            <m:sty m:val="p"/>
          </m:rPr>
          <m:t>(</m:t>
        </m:r>
        <m:r>
          <m:t>θ</m:t>
        </m:r>
        <m:r>
          <m:rPr>
            <m:sty m:val="p"/>
          </m:rPr>
          <m:t>)</m:t>
        </m:r>
        <m:sSup>
          <m:e>
            <m:r>
              <m:rPr>
                <m:sty m:val="p"/>
              </m:rPr>
              <m:t>]</m:t>
            </m:r>
          </m:e>
          <m:sup>
            <m:r>
              <m:t>2</m:t>
            </m:r>
          </m:sup>
        </m:sSup>
        <m:r>
          <m:rPr>
            <m:sty m:val="p"/>
          </m:rPr>
          <m:t>→</m:t>
        </m:r>
        <m:r>
          <m:t>0</m:t>
        </m:r>
      </m:oMath>
      <w:r>
        <w:t xml:space="preserve"> </w:t>
      </w:r>
      <w:r>
        <w:t xml:space="preserve">as</w:t>
      </w:r>
      <w:r>
        <w:t xml:space="preserve"> </w:t>
      </w:r>
      <m:oMath>
        <m:r>
          <m:t>θ</m:t>
        </m:r>
        <m:r>
          <m:rPr>
            <m:sty m:val="p"/>
          </m:rPr>
          <m:t>→</m:t>
        </m:r>
        <m:r>
          <m:t>0</m:t>
        </m:r>
      </m:oMath>
      <w:r>
        <w:t xml:space="preserve">. The power law is distinguished by its scale invariance, which produces the homogeneity axiom. Relaxing the power-law assumption opens the space of composition functions to</w:t>
      </w:r>
      <w:r>
        <w:t xml:space="preserve"> </w:t>
      </w:r>
      <m:oMath>
        <m:r>
          <m:rPr>
            <m:sty m:val="p"/>
          </m:rPr>
          <m:t>∏</m:t>
        </m:r>
        <m:rad>
          <m:radPr>
            <m:degHide m:val="on"/>
          </m:radPr>
          <m:deg/>
          <m:e>
            <m:sSub>
              <m:e>
                <m:r>
                  <m:t>g</m:t>
                </m:r>
              </m:e>
              <m:sub>
                <m:r>
                  <m:t>i</m:t>
                </m:r>
                <m:r>
                  <m:t>i</m:t>
                </m:r>
              </m:sub>
            </m:sSub>
            <m:r>
              <m:rPr>
                <m:sty m:val="p"/>
              </m:rPr>
              <m:t>(</m:t>
            </m:r>
            <m:sSub>
              <m:e>
                <m:r>
                  <m:t>θ</m:t>
                </m:r>
              </m:e>
              <m:sub>
                <m:r>
                  <m:t>i</m:t>
                </m:r>
              </m:sub>
            </m:sSub>
            <m:r>
              <m:rPr>
                <m:sty m:val="p"/>
              </m:rPr>
              <m:t>)</m:t>
            </m:r>
          </m:e>
        </m:rad>
      </m:oMath>
      <w:r>
        <w:t xml:space="preserve"> </w:t>
      </w:r>
      <w:r>
        <w:t xml:space="preserve">with general (non-power-law) factors—multiplicative but not Cobb-Douglas. This parallels the relaxation of the homogeneity axiom in</w:t>
      </w:r>
      <w:r>
        <w:t xml:space="preserve"> </w:t>
      </w:r>
      <w:r>
        <w:t xml:space="preserve">, which opens the CES family.</w:t>
      </w:r>
    </w:p>
    <w:bookmarkEnd w:id="34"/>
    <w:bookmarkStart w:id="35" w:name="the-density-vs-scalar-issue"/>
    <w:p>
      <w:pPr>
        <w:pStyle w:val="Heading2"/>
      </w:pPr>
      <w:r>
        <w:t xml:space="preserve">The density-vs-scalar issue</w:t>
      </w:r>
    </w:p>
    <w:p>
      <w:pPr>
        <w:pStyle w:val="FirstParagraph"/>
      </w:pPr>
      <w:r>
        <w:t xml:space="preserve">A technical subtlety:</w:t>
      </w:r>
      <w:r>
        <w:t xml:space="preserve"> </w:t>
      </w:r>
      <m:oMath>
        <m:rad>
          <m:radPr>
            <m:degHide m:val="on"/>
          </m:radPr>
          <m:deg/>
          <m:e>
            <m:r>
              <m:rPr>
                <m:sty m:val="p"/>
              </m:rPr>
              <m:t>det</m:t>
            </m:r>
            <m:r>
              <m:t>g</m:t>
            </m:r>
          </m:e>
        </m:rad>
      </m:oMath>
      <w:r>
        <w:t xml:space="preserve"> </w:t>
      </w:r>
      <w:r>
        <w:t xml:space="preserve">is a scalar</w:t>
      </w:r>
      <w:r>
        <w:t xml:space="preserve"> </w:t>
      </w:r>
      <w:r>
        <w:rPr>
          <w:i/>
          <w:iCs/>
        </w:rPr>
        <w:t xml:space="preserve">density</w:t>
      </w:r>
      <w:r>
        <w:t xml:space="preserve">, not a scalar. It transforms under reparameterization as</w:t>
      </w:r>
      <w:r>
        <w:t xml:space="preserve"> </w:t>
      </w:r>
      <m:oMath>
        <m:rad>
          <m:radPr>
            <m:degHide m:val="on"/>
          </m:radPr>
          <m:deg/>
          <m:e>
            <m:r>
              <m:rPr>
                <m:sty m:val="p"/>
              </m:rPr>
              <m:t>det</m:t>
            </m:r>
            <m:sSup>
              <m:e>
                <m:r>
                  <m:t>g</m:t>
                </m:r>
              </m:e>
              <m:sup>
                <m:r>
                  <m:rPr>
                    <m:sty m:val="p"/>
                  </m:rPr>
                  <m:t>′</m:t>
                </m:r>
              </m:sup>
            </m:sSup>
          </m:e>
        </m:rad>
        <m:r>
          <m:rPr>
            <m:sty m:val="p"/>
          </m:rPr>
          <m:t>=</m:t>
        </m:r>
        <m:rad>
          <m:radPr>
            <m:degHide m:val="on"/>
          </m:radPr>
          <m:deg/>
          <m:e>
            <m:r>
              <m:rPr>
                <m:sty m:val="p"/>
              </m:rPr>
              <m:t>det</m:t>
            </m:r>
            <m:r>
              <m:t>g</m:t>
            </m:r>
          </m:e>
        </m:rad>
        <m:r>
          <m:rPr>
            <m:sty m:val="p"/>
          </m:rPr>
          <m:t>⋅</m:t>
        </m:r>
        <m:r>
          <m:rPr>
            <m:sty m:val="p"/>
          </m:rPr>
          <m:t>|</m:t>
        </m:r>
        <m:r>
          <m:rPr>
            <m:sty m:val="p"/>
          </m:rPr>
          <m:t>det</m:t>
        </m:r>
        <m:r>
          <m:rPr>
            <m:sty m:val="p"/>
          </m:rPr>
          <m:t>(</m:t>
        </m:r>
        <m:r>
          <m:rPr>
            <m:sty m:val="p"/>
          </m:rPr>
          <m:t>∂</m:t>
        </m:r>
        <m:r>
          <m:t>θ</m:t>
        </m:r>
        <m:r>
          <m:rPr>
            <m:sty m:val="p"/>
          </m:rPr>
          <m:t>/</m:t>
        </m:r>
        <m:r>
          <m:rPr>
            <m:sty m:val="p"/>
          </m:rPr>
          <m:t>∂</m:t>
        </m:r>
        <m:sSup>
          <m:e>
            <m:r>
              <m:t>θ</m:t>
            </m:r>
          </m:e>
          <m:sup>
            <m:r>
              <m:rPr>
                <m:sty m:val="p"/>
              </m:rPr>
              <m:t>′</m:t>
            </m:r>
          </m:sup>
        </m:sSup>
        <m:r>
          <m:rPr>
            <m:sty m:val="p"/>
          </m:rPr>
          <m:t>)</m:t>
        </m:r>
        <m:r>
          <m:rPr>
            <m:sty m:val="p"/>
          </m:rPr>
          <m:t>|</m:t>
        </m:r>
      </m:oMath>
      <w:r>
        <w:t xml:space="preserve">. The volume</w:t>
      </w:r>
      <w:r>
        <w:t xml:space="preserve"> </w:t>
      </w:r>
      <w:r>
        <w:rPr>
          <w:i/>
          <w:iCs/>
        </w:rPr>
        <w:t xml:space="preserve">form</w:t>
      </w:r>
      <w:r>
        <w:t xml:space="preserve"> </w:t>
      </w:r>
      <m:oMath>
        <m:rad>
          <m:radPr>
            <m:degHide m:val="on"/>
          </m:radPr>
          <m:deg/>
          <m:e>
            <m:r>
              <m:rPr>
                <m:sty m:val="p"/>
              </m:rPr>
              <m:t>det</m:t>
            </m:r>
            <m:r>
              <m:t>g</m:t>
            </m:r>
          </m:e>
        </m:rad>
        <m:r>
          <m:t> </m:t>
        </m:r>
        <m:sSup>
          <m:e>
            <m:r>
              <m:t>d</m:t>
            </m:r>
          </m:e>
          <m:sup>
            <m:r>
              <m:t>N</m:t>
            </m:r>
          </m:sup>
        </m:sSup>
        <m:r>
          <m:t>​</m:t>
        </m:r>
        <m:r>
          <m:t>θ</m:t>
        </m:r>
      </m:oMath>
      <w:r>
        <w:t xml:space="preserve"> </w:t>
      </w:r>
      <w:r>
        <w:t xml:space="preserve">is invariant, but the pointwise density is coordinate-dependent.</w:t>
      </w:r>
    </w:p>
    <w:p>
      <w:pPr>
        <w:pStyle w:val="BodyText"/>
      </w:pPr>
      <w:r>
        <w:t xml:space="preserve">This is standard for physical densities—energy density, charge density, and mass density are all coordinate-dependent. The invariant quantity is the integral over a region (total informational volume). The pointwise density is meaningful relative to a fixed parameterization, which in this context is provided by the dimension values</w:t>
      </w:r>
      <w:r>
        <w:t xml:space="preserve"> </w:t>
      </w:r>
      <m:oMath>
        <m:sSub>
          <m:e>
            <m:r>
              <m:t>θ</m:t>
            </m:r>
          </m:e>
          <m:sub>
            <m:r>
              <m:t>i</m:t>
            </m:r>
          </m:sub>
        </m:sSub>
      </m:oMath>
      <w:r>
        <w:t xml:space="preserve"> </w:t>
      </w:r>
      <w:r>
        <w:t xml:space="preserve">(the natural parameters of the statistical model). We note that the Jeffreys prior</w:t>
      </w:r>
      <w:r>
        <w:t xml:space="preserve"> </w:t>
      </w:r>
      <w:r>
        <w:t xml:space="preserve"> </w:t>
      </w:r>
      <w:r>
        <w:t xml:space="preserve">is precisely</w:t>
      </w:r>
      <w:r>
        <w:t xml:space="preserve"> </w:t>
      </w:r>
      <m:oMath>
        <m:rad>
          <m:radPr>
            <m:degHide m:val="on"/>
          </m:radPr>
          <m:deg/>
          <m:e>
            <m:r>
              <m:rPr>
                <m:sty m:val="p"/>
              </m:rPr>
              <m:t>det</m:t>
            </m:r>
            <m:r>
              <m:t>g</m:t>
            </m:r>
          </m:e>
        </m:rad>
      </m:oMath>
      <w:r>
        <w:t xml:space="preserve">, and its coordinate dependence is a feature, not a bug: it ensures that the prior is non-informative relative to the chosen parameterization.</w:t>
      </w:r>
    </w:p>
    <w:bookmarkEnd w:id="35"/>
    <w:bookmarkStart w:id="36" w:name="connections-to-existing-work"/>
    <w:p>
      <w:pPr>
        <w:pStyle w:val="Heading2"/>
      </w:pPr>
      <w:r>
        <w:t xml:space="preserve">Connections to existing work</w:t>
      </w:r>
    </w:p>
    <w:p>
      <w:pPr>
        <w:pStyle w:val="FirstParagraph"/>
      </w:pPr>
      <w:r>
        <w:t xml:space="preserve">The connection between Fisher information and emergent structure has been noted in several contexts. Yoo-Kong</w:t>
      </w:r>
      <w:r>
        <w:t xml:space="preserve"> </w:t>
      </w:r>
      <w:r>
        <w:t xml:space="preserve"> </w:t>
      </w:r>
      <w:r>
        <w:t xml:space="preserve">derives the relativistic dispersion relation as an emergent structure from a multiplicative Hamiltonian via the Fisher-Rao geometry, a conceptually parallel construction. Cafaro and Ali</w:t>
      </w:r>
      <w:r>
        <w:t xml:space="preserve"> </w:t>
      </w:r>
      <w:r>
        <w:t xml:space="preserve"> </w:t>
      </w:r>
      <w:r>
        <w:t xml:space="preserve">use the information volume on curved statistical manifolds as a complexity measure for dynamical systems. The</w:t>
      </w:r>
      <w:r>
        <w:t xml:space="preserve"> </w:t>
      </w:r>
      <w:r>
        <w:t xml:space="preserve">“density of distinguishable states”</w:t>
      </w:r>
      <w:r>
        <w:t xml:space="preserve"> </w:t>
      </w:r>
      <w:r>
        <w:t xml:space="preserve">interpretation of</w:t>
      </w:r>
      <w:r>
        <w:t xml:space="preserve"> </w:t>
      </w:r>
      <m:oMath>
        <m:rad>
          <m:radPr>
            <m:degHide m:val="on"/>
          </m:radPr>
          <m:deg/>
          <m:e>
            <m:r>
              <m:rPr>
                <m:sty m:val="p"/>
              </m:rPr>
              <m:t>det</m:t>
            </m:r>
            <m:r>
              <m:t>g</m:t>
            </m:r>
          </m:e>
        </m:rad>
      </m:oMath>
      <w:r>
        <w:t xml:space="preserve"> </w:t>
      </w:r>
      <w:r>
        <w:t xml:space="preserve">appears in quantum metrology</w:t>
      </w:r>
      <w:r>
        <w:t xml:space="preserve"> </w:t>
      </w:r>
      <w:r>
        <w:t xml:space="preserve">. To our knowledge, this paper is the first to explicitly connect the volume factorization on product statistical manifolds to the multiplicative composition law for emergent properties.</w:t>
      </w:r>
    </w:p>
    <w:bookmarkEnd w:id="36"/>
    <w:bookmarkEnd w:id="37"/>
    <w:bookmarkStart w:id="38" w:name="sec:conclusion"/>
    <w:p>
      <w:pPr>
        <w:pStyle w:val="Heading1"/>
      </w:pPr>
      <w:r>
        <w:t xml:space="preserve">Conclusion</w:t>
      </w:r>
    </w:p>
    <w:p>
      <w:pPr>
        <w:pStyle w:val="FirstParagraph"/>
      </w:pPr>
      <w:r>
        <w:t xml:space="preserve">The multiplicative composition law</w:t>
      </w:r>
      <w:r>
        <w:t xml:space="preserve"> </w:t>
      </w:r>
      <m:oMath>
        <m:r>
          <m:t>f</m:t>
        </m:r>
        <m:r>
          <m:rPr>
            <m:sty m:val="p"/>
          </m:rPr>
          <m:t>=</m:t>
        </m:r>
        <m:r>
          <m:t>k</m:t>
        </m:r>
        <m:r>
          <m:rPr>
            <m:sty m:val="p"/>
          </m:rPr>
          <m:t>∏</m:t>
        </m:r>
        <m:sSubSup>
          <m:e>
            <m:r>
              <m:t>x</m:t>
            </m:r>
          </m:e>
          <m:sub>
            <m:r>
              <m:t>i</m:t>
            </m:r>
          </m:sub>
          <m:sup>
            <m:sSub>
              <m:e>
                <m:r>
                  <m:t>α</m:t>
                </m:r>
              </m:e>
              <m:sub>
                <m:r>
                  <m:t>i</m:t>
                </m:r>
              </m:sub>
            </m:sSub>
          </m:sup>
        </m:sSubSup>
      </m:oMath>
      <w:r>
        <w:t xml:space="preserve"> </w:t>
      </w:r>
      <w:r>
        <w:t xml:space="preserve">for emergent properties, established axiomatically in</w:t>
      </w:r>
      <w:r>
        <w:t xml:space="preserve"> </w:t>
      </w:r>
      <w:r>
        <w:t xml:space="preserve">, has a geometric origin. On the product statistical manifold of independent observation channels, the Riemannian volume density factorizes multiplicatively—a direct consequence of the product structure and the Fisher-Rao metric. Under the natural class of power-law response channels, this factorization yields the multiplicative power law exactly, with exponents determined by the response order of each dimension.</w:t>
      </w:r>
    </w:p>
    <w:p>
      <w:pPr>
        <w:pStyle w:val="BodyText"/>
      </w:pPr>
      <w:r>
        <w:t xml:space="preserve">The five axioms of</w:t>
      </w:r>
      <w:r>
        <w:t xml:space="preserve"> </w:t>
      </w:r>
      <w:r>
        <w:t xml:space="preserve"> </w:t>
      </w:r>
      <w:r>
        <w:t xml:space="preserve">are not independent postulates. They are the algebraic expression of properties that the Fisher metric possesses automatically: separability from independence, zero-collapse from information degeneracy, monotonicity from increasing distinguishability, homogeneity from power-law response, and continuity from metric regularity. The axiomatic proof establishes the uniqueness of the functional form; the geometric derivation explains why those axioms hold.</w:t>
      </w:r>
    </w:p>
    <w:p>
      <w:pPr>
        <w:pStyle w:val="BodyText"/>
      </w:pPr>
      <w:r>
        <w:t xml:space="preserve">The curvature-volume duality adds a second contribution: on a product manifold, scalar curvature is additive and volume density is multiplicative. These are not competing models but coexisting geometric structures. The scope condition—substitutable dimensions compose additively, non-substitutable dimensions compose multiplicatively—acquires geometric content: it is the choice between curvature and volume as the relevant physical invariant.</w:t>
      </w:r>
    </w:p>
    <w:p>
      <w:pPr>
        <w:pStyle w:val="BodyText"/>
      </w:pPr>
      <w:r>
        <w:t xml:space="preserve">The multiplicative composition law has been independently discovered nine times across two centuries</w:t>
      </w:r>
      <w:r>
        <w:t xml:space="preserve"> </w:t>
      </w:r>
      <w:r>
        <w:t xml:space="preserve">. This paper suggests a reason: the multiplicative structure is not merely consistent with a set of axioms. It is the geometry of information.</w:t>
      </w:r>
    </w:p>
    <w:p>
      <w:pPr>
        <w:pStyle w:val="BodyText"/>
      </w:pPr>
      <w:r>
        <w:t xml:space="preserve">99</w:t>
      </w:r>
    </w:p>
    <w:p>
      <w:pPr>
        <w:pStyle w:val="BodyText"/>
      </w:pPr>
      <w:r>
        <w:t xml:space="preserve">Aczél, J. (1966).</w:t>
      </w:r>
      <w:r>
        <w:t xml:space="preserve"> </w:t>
      </w:r>
      <w:r>
        <w:rPr>
          <w:i/>
          <w:iCs/>
        </w:rPr>
        <w:t xml:space="preserve">Lectures on Functional Equations and Their Applications</w:t>
      </w:r>
      <w:r>
        <w:t xml:space="preserve">. Academic Press.</w:t>
      </w:r>
    </w:p>
    <w:p>
      <w:pPr>
        <w:pStyle w:val="BodyText"/>
      </w:pPr>
      <w:r>
        <w:t xml:space="preserve">Amari, S. (2016).</w:t>
      </w:r>
      <w:r>
        <w:t xml:space="preserve"> </w:t>
      </w:r>
      <w:r>
        <w:rPr>
          <w:i/>
          <w:iCs/>
        </w:rPr>
        <w:t xml:space="preserve">Information Geometry and Its Applications</w:t>
      </w:r>
      <w:r>
        <w:t xml:space="preserve">. Springer.</w:t>
      </w:r>
    </w:p>
    <w:p>
      <w:pPr>
        <w:pStyle w:val="BodyText"/>
      </w:pPr>
      <w:r>
        <w:t xml:space="preserve">Ay, N., Jost, J., Lê, H.V., and Schwachhöfer, L. (2017).</w:t>
      </w:r>
      <w:r>
        <w:t xml:space="preserve"> </w:t>
      </w:r>
      <w:r>
        <w:rPr>
          <w:i/>
          <w:iCs/>
        </w:rPr>
        <w:t xml:space="preserve">Information Geometry</w:t>
      </w:r>
      <w:r>
        <w:t xml:space="preserve">. Springer.</w:t>
      </w:r>
    </w:p>
    <w:p>
      <w:pPr>
        <w:pStyle w:val="BodyText"/>
      </w:pPr>
      <w:r>
        <w:t xml:space="preserve">Cafaro, C. and Ali, S.A. (2008). Information geometric complexity of entropic motion on curved statistical manifolds. arXiv:1308.4867.</w:t>
      </w:r>
    </w:p>
    <w:p>
      <w:pPr>
        <w:pStyle w:val="BodyText"/>
      </w:pPr>
      <w:r>
        <w:t xml:space="preserve">Chentsov, N.N. (1982).</w:t>
      </w:r>
      <w:r>
        <w:t xml:space="preserve"> </w:t>
      </w:r>
      <w:r>
        <w:rPr>
          <w:i/>
          <w:iCs/>
        </w:rPr>
        <w:t xml:space="preserve">Statistical Decision Rules and Optimal Inference</w:t>
      </w:r>
      <w:r>
        <w:t xml:space="preserve">. AMS Translations.</w:t>
      </w:r>
    </w:p>
    <w:p>
      <w:pPr>
        <w:pStyle w:val="BodyText"/>
      </w:pPr>
      <w:r>
        <w:t xml:space="preserve">Jeffreys, H. (1946). An invariant form for the prior probability in estimation problems.</w:t>
      </w:r>
      <w:r>
        <w:t xml:space="preserve"> </w:t>
      </w:r>
      <w:r>
        <w:rPr>
          <w:i/>
          <w:iCs/>
        </w:rPr>
        <w:t xml:space="preserve">Proc. Roy. Soc. A</w:t>
      </w:r>
      <w:r>
        <w:t xml:space="preserve">, 186:453–461.</w:t>
      </w:r>
    </w:p>
    <w:p>
      <w:pPr>
        <w:pStyle w:val="BodyText"/>
      </w:pPr>
      <w:r>
        <w:t xml:space="preserve">Kirsch, D. E. (2026). Axiomatic characterization of multiplicative aggregation: On zero-collapse and the O-Ring inversion.</w:t>
      </w:r>
      <w:r>
        <w:t xml:space="preserve"> </w:t>
      </w:r>
      <w:r>
        <w:rPr>
          <w:i/>
          <w:iCs/>
        </w:rPr>
        <w:t xml:space="preserve">arXiv preprint</w:t>
      </w:r>
      <w:r>
        <w:t xml:space="preserve">.</w:t>
      </w:r>
    </w:p>
    <w:p>
      <w:pPr>
        <w:pStyle w:val="BodyText"/>
      </w:pPr>
      <w:r>
        <w:t xml:space="preserve">Lu, X.M. et al. (2020). Measure of the density of quantum states in information geometry.</w:t>
      </w:r>
      <w:r>
        <w:t xml:space="preserve"> </w:t>
      </w:r>
      <w:r>
        <w:rPr>
          <w:i/>
          <w:iCs/>
        </w:rPr>
        <w:t xml:space="preserve">Physical Review A</w:t>
      </w:r>
      <w:r>
        <w:t xml:space="preserve">.</w:t>
      </w:r>
    </w:p>
    <w:p>
      <w:pPr>
        <w:pStyle w:val="BodyText"/>
      </w:pPr>
      <w:r>
        <w:t xml:space="preserve">Silvey, S.D. (1959). The Lagrangian multiplier test.</w:t>
      </w:r>
      <w:r>
        <w:t xml:space="preserve"> </w:t>
      </w:r>
      <w:r>
        <w:rPr>
          <w:i/>
          <w:iCs/>
        </w:rPr>
        <w:t xml:space="preserve">Ann. Math. Stat.</w:t>
      </w:r>
      <w:r>
        <w:t xml:space="preserve">, 30:389–407.</w:t>
      </w:r>
    </w:p>
    <w:p>
      <w:pPr>
        <w:pStyle w:val="BodyText"/>
      </w:pPr>
      <w:r>
        <w:t xml:space="preserve">Pace, L. and Salvan, A. (2022). Likelihood asymptotics in nonregular settings. arXiv:2206.15178.</w:t>
      </w:r>
    </w:p>
    <w:p>
      <w:pPr>
        <w:pStyle w:val="BodyText"/>
      </w:pPr>
      <w:r>
        <w:t xml:space="preserve">The additivity of scalar curvature under Cartesian products is a standard result; see e.g. any text on Riemannian geometry or the characterization in Lott (2020).</w:t>
      </w:r>
    </w:p>
    <w:p>
      <w:pPr>
        <w:pStyle w:val="BodyText"/>
      </w:pPr>
      <w:r>
        <w:t xml:space="preserve">Yoo-Kong, S. (2026). Relativistic Hamiltonian as an emergent structure from information geometry. arXiv:2601.12764.</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davidkirsch.me" TargetMode="External" /></Relationships>
</file>

<file path=word/_rels/footnotes.xml.rels><?xml version="1.0" encoding="UTF-8"?><Relationships xmlns="http://schemas.openxmlformats.org/package/2006/relationships"><Relationship Type="http://schemas.openxmlformats.org/officeDocument/2006/relationships/hyperlink" Id="rId9" Target="https://davidkirsch.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Emergence as Information Volume: The Geometric Foundation of Multiplicative Composition</dc:title>
  <dc:creator>David E. Kirsch Independent Researcher Simi Valley, California david@davidkirsch.me https://davidkirsch.me</dc:creator>
  <cp:keywords/>
  <dcterms:created xsi:type="dcterms:W3CDTF">2026-07-11T01:36:49Z</dcterms:created>
  <dcterms:modified xsi:type="dcterms:W3CDTF">2026-07-11T01:36:49Z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companion paper  proves that emergent properties—outputs requiring the joint satisfaction of independent, non-substitutable preconditions—compose via the unique multiplicative power-law f(\mathbf{x}) = k \prod x_i^{\alpha_i}. That proof is axiomatic: five structural postulates determine the functional form. This paper provides the geometric foundation. We show that the multiplicative law arises naturally from the information geometry of independent observation channels. On a product statistical manifold \mathcal{M} = \mathcal{M}_1 \times \cdots \times \mathcal{M}_N equipped with the Fisher-Rao metric g, the Riemannian volume density factorizes as \sqrt{\det g} = \prod_i \sqrt{g_{ii}(\theta_i)}. We construct a concrete statistical model—N independent channels with power-law response functions \mu_i(\theta_i) = \theta_i^{q_i}, q_i &gt; 1—under which \sqrt{\det g(\boldsymbol{\theta})} = k \prod \theta_i^{\alpha_i} with \alpha_i = q_i - 1 &gt; 0, recovering the multiplicative composition law exactly. The five axioms of  are shown to be consequences of the geometry: separability from the product structure, zero-collapse from the vanishing of Fisher information at degenerate channels, monotonicity from increasing distinguishability, and homogeneity from the power-law response. We identify a duality between two natural geometric invariants on product manifolds: scalar curvature, which is additive (R(M_1 \times M_2) = R(M_1) + R(M_2)), and volume density, which is multiplicative (\sqrt{\det g} = \prod \sqrt{g_{ii}}). This duality gives geometric content to the scope condition of : substitutable dimensions compose through curvature (additive); non-substitutable dimensions compose through volume (multiplicative). The same manifold supports both structures. The choice between them is not a modeling preference—it is a geometric fact about which invariant captures the relevant physical quantity.</vt:lpwstr>
  </property>
  <property fmtid="{D5CDD505-2E9C-101B-9397-08002B2CF9AE}" pid="3" name="date">
    <vt:lpwstr>July 2026</vt:lpwstr>
  </property>
</Properties>
</file>