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color w:val="4a86e8"/>
        </w:rPr>
      </w:pPr>
      <w:bookmarkStart w:colFirst="0" w:colLast="0" w:name="_kh3rd5tckelq" w:id="0"/>
      <w:bookmarkEnd w:id="0"/>
      <w:r w:rsidDel="00000000" w:rsidR="00000000" w:rsidRPr="00000000">
        <w:rPr>
          <w:color w:val="4a86e8"/>
          <w:rtl w:val="0"/>
        </w:rPr>
        <w:t xml:space="preserve">¿Cómo puede utilizarse la tomografía sísmica para identificar variaciones en la estructura y composición del subsuelo? </w:t>
      </w:r>
    </w:p>
    <w:p w:rsidR="00000000" w:rsidDel="00000000" w:rsidP="00000000" w:rsidRDefault="00000000" w:rsidRPr="00000000" w14:paraId="00000002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tomografía sísmica permite mapear y caracterizar el subsuelo al medir las variaciones en los tiempos de recorrido y las amplitudes de las ondas elásticas (ondas P y S) a través de las estructuras geológicas.</w:t>
      </w:r>
    </w:p>
    <w:p w:rsidR="00000000" w:rsidDel="00000000" w:rsidP="00000000" w:rsidRDefault="00000000" w:rsidRPr="00000000" w14:paraId="00000004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principio fundamental radica en resolver un problema inverso donde la velocidad de propagación de las ondas sísmicas v(x, y, z) está vinculada con las propiedades mecánicas y petrofísicas de los materiales.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ptru1bk9c70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Mecanismos para identificar variaciones en la estructura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Anomalías de velocidad de propagación:</w:t>
      </w:r>
      <w:r w:rsidDel="00000000" w:rsidR="00000000" w:rsidRPr="00000000">
        <w:rPr>
          <w:sz w:val="20"/>
          <w:szCs w:val="20"/>
          <w:rtl w:val="0"/>
        </w:rPr>
        <w:t xml:space="preserve"> La velocidad de las ondas sísmicas depende de la densidad  y de las constantes elásticas del medio (módulo de incompresibilidad K y módulo de cortante 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 aumento en la velocidad sísmica señala materiales de mayor densidad, compacidad o grado de litificación (como roca sana no alterada).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Una reducción en la velocidad indica zonas de menor rigidez, presencia de fracturas, desconsolidación o alta porosidad.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Identificación de límites litológicos y contactos:</w:t>
      </w:r>
      <w:r w:rsidDel="00000000" w:rsidR="00000000" w:rsidRPr="00000000">
        <w:rPr>
          <w:sz w:val="20"/>
          <w:szCs w:val="20"/>
          <w:rtl w:val="0"/>
        </w:rPr>
        <w:t xml:space="preserve"> Al aplicar técnicas de tomografía de refracción o reflexión, el contraste brusco de velocidades permite delinear estratos geológicos, la profundidad del basamento rocoso y las discontinuidades litológicas.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Detección de estructuras tectónicas:</w:t>
      </w:r>
      <w:r w:rsidDel="00000000" w:rsidR="00000000" w:rsidRPr="00000000">
        <w:rPr>
          <w:sz w:val="20"/>
          <w:szCs w:val="20"/>
          <w:rtl w:val="0"/>
        </w:rPr>
        <w:t xml:space="preserve"> Las zonas de falla, cizallamiento o cavidades se identifican mediante franjas con valores de velocidad anómalamente bajos causados por la degradación del plano de falla y el contenido de fluidos o vacíos.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n70zhhb2r54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Mecanismos para identificar la composición y propiedades del subsuelo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Relación de velocidades de onda (Vp / Vs):</w:t>
      </w:r>
      <w:r w:rsidDel="00000000" w:rsidR="00000000" w:rsidRPr="00000000">
        <w:rPr>
          <w:sz w:val="20"/>
          <w:szCs w:val="20"/>
          <w:rtl w:val="0"/>
        </w:rPr>
        <w:t xml:space="preserve"> El análisis combinado de ondas compresionales (Vp) y de corte (Vs) es sensible a la composición mineralógica y al contenido de fluidos.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ejemplo, los materiales saturados con fluidos (agua o hidrocarburos) muestran variaciones significativas en la onda P, mientras que las ondas S no se propagan en fluidos, lo que facilita diferenciar unidades permeables, acuíferos o trampas de fluidos.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Atenuación y dispersión de energía:</w:t>
      </w:r>
      <w:r w:rsidDel="00000000" w:rsidR="00000000" w:rsidRPr="00000000">
        <w:rPr>
          <w:sz w:val="20"/>
          <w:szCs w:val="20"/>
          <w:rtl w:val="0"/>
        </w:rPr>
        <w:t xml:space="preserve"> El estudio del factor de calidad elástico (Q) permite evaluar la absorción de energía sísmica por el medio. Medios altamente fracturados, alterados hidrotermalmente o con alto contenido de arcillas presentan mayor atenuación sísmica.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