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售 零 售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建 设 方 案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排班挂号 · 电子病历 · 处方收费 · 药房库存 · 零依赖单机可跑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飞售零售管理系统建设项目（FeiShou RMS）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飞售科技 · 零售数字化项目组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放行实施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 ｜ 密级：内部</w:t>
      </w:r>
    </w:p>
    <w:p>
      <w:pPr>
        <w:pStyle w:val="Heading1"/>
      </w:pPr>
      <w:r>
        <w:t>1. 项目概述</w:t>
      </w:r>
    </w:p>
    <w:p>
      <w:r>
        <w:rPr>
          <w:rFonts w:ascii="Times New Roman" w:hAnsi="Times New Roman" w:eastAsia="宋体"/>
          <w:b w:val="0"/>
          <w:i w:val="0"/>
          <w:sz w:val="21"/>
        </w:rPr>
        <w:t>飞售零售管理系统（FeiShou RMS）面向连锁零售/便利店/精品店，提供门店管理、商品（SKU/条码）、会员体系、促销活动、POS 收银、库存与批次效期、采购补货、供应商结算、财务流水、风险扫描等一体化业务能力，并预留标准化 API 供第三方系统（电商平台、外卖平台、支付网关、ERP/WMS、企业 OA 等）对接。</w:t>
      </w:r>
    </w:p>
    <w:p>
      <w:pPr>
        <w:pStyle w:val="Heading2"/>
      </w:pPr>
      <w:r>
        <w:t>1.1 设计目标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零依赖部署：Python 标准库 + SQLite（WAL），单机即可运行，无第三方包。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对外友好：统一 REST 风格、统一响应包、Bearer/ApiKey/Cookie 五通道鉴权、幂等键、增量同步。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金额精确：所有金额以「分」（cents）为单位，Decimal HALF_UP，杜绝浮点误差。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风控前置：低库存、临期、负毛利销售、供应商欠款超限自动扫描告警。</w:t>
      </w:r>
    </w:p>
    <w:p>
      <w:pPr>
        <w:pStyle w:val="Heading2"/>
      </w:pPr>
      <w:r>
        <w:t>1.2 与「飞」系列体系的关系</w:t>
      </w:r>
    </w:p>
    <w:p>
      <w:r>
        <w:rPr>
          <w:rFonts w:ascii="Times New Roman" w:hAnsi="Times New Roman" w:eastAsia="宋体"/>
          <w:b w:val="0"/>
          <w:i w:val="0"/>
          <w:sz w:val="21"/>
        </w:rPr>
        <w:t>沿用集团「飞」系列管理系统架构范式（飞运/飞餐/飞医），端口 8029、路由前缀 /retail/，与 nginx 网关统一托管。</w:t>
      </w:r>
    </w:p>
    <w:p>
      <w:pPr>
        <w:pStyle w:val="Heading1"/>
      </w:pPr>
      <w:r>
        <w:t>2. 总体架构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浏览器 SPA (原生JS)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│ /retail/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nginx (80) ── proxy_pass http://127.0.0.1:8029/ (剥前缀)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ThreadingHTTPServer (8029)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├── server.py  路由层（~80 路由）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├── ret.py     纯函数业务内核（无IO可单测）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├── seed.py    演示数据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└── db.py      sqlite3 WAL + execute 重试/回滚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  └── feishou.db（27 表）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分层职责：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路由层：鉴权、参数校验、调用内核、统一响应包 {code, message, data}。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业务内核：促销计算（满减/折扣）、会员折扣与积分、销售金额、FEFO 扣减、毛利校验、风险扫描——纯函数，可独立单测。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数据层：execute() 带 30 次锁重试，统一捕获 OperationalError/IntegrityError 并回滚。</w:t>
      </w:r>
    </w:p>
    <w:p>
      <w:pPr>
        <w:pStyle w:val="Heading1"/>
      </w:pPr>
      <w:r>
        <w:t>3. 业务域设计</w:t>
      </w:r>
    </w:p>
    <w:p>
      <w:pPr>
        <w:pStyle w:val="Heading2"/>
      </w:pPr>
      <w:r>
        <w:t>3.1 基础主数据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域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表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门店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stores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门店编码、地址、电话、状态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commodities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SKU 编码、条码（EAN-13 唯一）、单位、售价/进价（分）、保质期、安全库存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会员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members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会员码、等级（normal/silver/gold/platinum）→折扣 1.00/0.95/0.90/0.85、积分、余额、手机号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供应商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suppliers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资质、应付余额、账期、欠款上限</w:t>
            </w:r>
          </w:p>
        </w:tc>
      </w:tr>
    </w:tbl>
    <w:p>
      <w:pPr>
        <w:spacing w:after="0"/>
      </w:pPr>
    </w:p>
    <w:p>
      <w:pPr>
        <w:pStyle w:val="Heading2"/>
      </w:pPr>
      <w:r>
        <w:t>3.2 促销促销 promotions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类型 full_off（满减：满 threshold_cents 减 off_cents）与 discount（折扣 rate，如 88 → ×0.88）。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时间窗 start_date~end_date、适用门店（store_id 空=全门店）。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结算时自动匹配最优促销（先折扣后满减，多重叠加取优惠最大组合）。</w:t>
      </w:r>
    </w:p>
    <w:p>
      <w:pPr>
        <w:pStyle w:val="Heading2"/>
      </w:pPr>
      <w:r>
        <w:t>3.3 POS 销售 sales + sale_items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购物车→结算：cart→paid；单号 XSyyyymmdd-xxx。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计价链路：明细小计 → 促销优惠（行内分摊）→ 会员折扣 → 实付；积分 = 实付/10 取整；支持现金/微信/支付宝/储值余额支付；储值余额不足 422。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退货 sales 返向单，走负流水。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负毛利校验：折后行单价低于进价不阻断但生成 risk。</w:t>
      </w:r>
    </w:p>
    <w:p>
      <w:pPr>
        <w:pStyle w:val="Heading2"/>
      </w:pPr>
      <w:r>
        <w:t>3.4 库存与采购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inventory：门店×商品批次（batch_no、效期、数量）；store_id+commodity_id+batch_no 唯一。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 出库：paid 时按 FEFO（效期近先出） 扣批次；不足整体失败 422 回滚。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采购 purchases + purchase_items：draft→submitted→received；receive 入批次库存 + 应付流水（含可填门店）。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盘点：库存只读，入/出库唯一通道为采购 receive 与销售 paid/退货。</w:t>
      </w:r>
    </w:p>
    <w:p>
      <w:pPr>
        <w:pStyle w:val="Heading2"/>
      </w:pPr>
      <w:r>
        <w:t>3.5 会员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消费累计积分、积分可抵现（本期预留接口）；等级折扣自动套用；储值余额充值/扣减留痕（member_txns）。</w:t>
      </w:r>
    </w:p>
    <w:p>
      <w:pPr>
        <w:pStyle w:val="Heading2"/>
      </w:pPr>
      <w:r>
        <w:t>3.6 风险中心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等级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stock_low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门店商品可用量 ≤ 安全库存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 warn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expiry_near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效期 ≤ 90 天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25 warn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negative_margin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折后售价 &lt; 进价销售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35 warn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supplier_overdue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供应商应付 &gt; 欠款上限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 risk</w:t>
            </w:r>
          </w:p>
        </w:tc>
      </w:tr>
    </w:tbl>
    <w:p>
      <w:pPr>
        <w:spacing w:after="0"/>
      </w:pPr>
    </w:p>
    <w:p>
      <w:pPr>
        <w:pStyle w:val="Heading2"/>
      </w:pPr>
      <w:r>
        <w:t>3.7 平台域</w:t>
      </w:r>
    </w:p>
    <w:p>
      <w:r>
        <w:rPr>
          <w:rFonts w:ascii="Times New Roman" w:hAnsi="Times New Roman" w:eastAsia="宋体"/>
          <w:b w:val="0"/>
          <w:i w:val="0"/>
          <w:sz w:val="21"/>
        </w:rPr>
        <w:t>users/tokens/api_keys/notices/logs/idem_keys/sync_state/ret_rules/seq，与飞医同构：角色 admin/manager/cashier/warehouse/member_admin/reader，权限通配 *、前缀 retail.*、写含读。</w:t>
      </w:r>
    </w:p>
    <w:p>
      <w:pPr>
        <w:pStyle w:val="Heading1"/>
      </w:pPr>
      <w:r>
        <w:t>4. 数据模型（27 表）</w:t>
      </w:r>
    </w:p>
    <w:p>
      <w:r>
        <w:rPr>
          <w:rFonts w:ascii="Times New Roman" w:hAnsi="Times New Roman" w:eastAsia="宋体"/>
          <w:b w:val="0"/>
          <w:i w:val="0"/>
          <w:sz w:val="21"/>
        </w:rPr>
        <w:t>stores, commodities, members, member_txns, promotions, sales, sale_items, inventory, purchases, purchase_items, suppliers, transactions, risks, users, tokens, api_keys, notices, logs, idem_keys, sync_state, ret_rules, seq 等</w:t>
      </w:r>
    </w:p>
    <w:p>
      <w:r>
        <w:rPr>
          <w:rFonts w:ascii="Times New Roman" w:hAnsi="Times New Roman" w:eastAsia="宋体"/>
          <w:b w:val="0"/>
          <w:i w:val="0"/>
          <w:sz w:val="21"/>
        </w:rPr>
        <w:t>关键约束：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单号统一 seq 表发号（XS 销售、CG 采购、TH 退货）。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inventory(store_id, commodity_id, batch_no) 唯一；commodities.barcode 唯一。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金额字段一律 *_cents（INTEGER）。</w:t>
      </w:r>
    </w:p>
    <w:p>
      <w:pPr>
        <w:pStyle w:val="Heading1"/>
      </w:pPr>
      <w:r>
        <w:t>5. 安全与鉴权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密码 SHA-256 存储；登录签发 token（tokens 表，7 天过期）。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五通道鉴权：Authorization: Bearer / X-Token / Cookie(retail_token|token) / ?token= / X-Api-Key（SHA-256 存储，默认 perms retail.*）。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幂等：Idempotency-Key 头 → idem_keys，写接口重复请求返回首次结果。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全量审计 logs 表（user/action/detail/ip）。</w:t>
      </w:r>
    </w:p>
    <w:p>
      <w:pPr>
        <w:pStyle w:val="Heading1"/>
      </w:pPr>
      <w:r>
        <w:t>6. 非功能要求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性能：SQLite WAL 并发读写，接口 P95 &lt; 100ms（单机百店规模）。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可用性：systemd 守护 + nginx 反代；数据文件日备。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可扩展：电商/外卖/支付网关对接仅需按 docs/api.md 契约调用，Token/ApiKey 均支持。</w:t>
      </w:r>
    </w:p>
    <w:p>
      <w:pPr>
        <w:pStyle w:val="Heading1"/>
      </w:pPr>
      <w:r>
        <w:t>7. 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交付物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位置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设计/API/测试/操作手册（md + docx）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docs/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 单文件 HTML（zip）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demo/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后端 + 前端 + 测试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backend/ frontend/ tests/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部署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systemd feishou-rms (8029) + nginx /retail/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github.com/dukema81/feishou-rms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