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税 税 务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测 试 报 告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三道门禁：pytest 70 + 端到端 53 + UI 巡检 11 · 全绿放行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飞税税务管理系统建设项目（FeiShui Tax）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飞税科技 · 税务数字化项目组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放行部署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测试日期：2026-10　结论：三道门禁全绿，放行部署</w:t>
      </w:r>
    </w:p>
    <w:p>
      <w:pPr>
        <w:pStyle w:val="Heading1"/>
      </w:pPr>
      <w:r>
        <w:t>1. 测试概述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门禁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范围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一：pytest 单元 + 集成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税计算内核 34 例 + API 集成 36 例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70/70 通过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二：端到端 API 验证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进程内起真实服务，覆盖 53 项关键链路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53/53 通过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三：UI 巡检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Playwright 11 页面渲染 + 控制台异常监控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11/11 通过，0 异常</w:t>
            </w:r>
          </w:p>
        </w:tc>
      </w:tr>
    </w:tbl>
    <w:p>
      <w:pPr>
        <w:spacing w:after="0"/>
      </w:pPr>
    </w:p>
    <w:p>
      <w:pPr>
        <w:pStyle w:val="Heading1"/>
      </w:pPr>
      <w:r>
        <w:t>2. 单元测试明细（tests/test_unit_tax.py，34 例）</w:t>
      </w:r>
    </w:p>
    <w:p>
      <w:pPr>
        <w:pStyle w:val="Heading2"/>
      </w:pPr>
      <w:r>
        <w:t>2.1 增值税（9 例）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单票税额：不含税 13% → 税额 13000 / 价税合计 113000；含税反向拆分一致；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9%、6% 档位税额；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非法税率（7%）正确抛出 TaxError；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小规模：季 25 万免征、季 35 万按 1% 缴 3500、月度 10 万起征点边界（99999 免 / 100001 征）；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一般计税：销项 130000 − 进项 65000 = 应纳 65000；进项大于销项形成留抵 52000。</w:t>
      </w:r>
    </w:p>
    <w:p>
      <w:pPr>
        <w:pStyle w:val="Heading2"/>
      </w:pPr>
      <w:r>
        <w:t>2.2 附加税费（3 例）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市区减半 6000（城建 3500 + 教附 1500 + 地教 1000）、市区全额 12000、县城镇 10000。</w:t>
      </w:r>
    </w:p>
    <w:p>
      <w:pPr>
        <w:pStyle w:val="Heading2"/>
      </w:pPr>
      <w:r>
        <w:t>2.3 企业所得税（4 例）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小微 280 万 → 14 万（实际 5%）、标准 25% → 70 万、高新 15% → 42 万、弥补亏损后计税基数 60 万。</w:t>
      </w:r>
    </w:p>
    <w:p>
      <w:pPr>
        <w:pStyle w:val="Heading2"/>
      </w:pPr>
      <w:r>
        <w:t>2.4 个人所得税（5 例）</w:t>
      </w:r>
    </w:p>
    <w:p>
      <w:r>
        <w:rPr>
          <w:rFonts w:ascii="Times New Roman" w:hAnsi="Times New Roman" w:eastAsia="宋体"/>
          <w:b w:val="0"/>
          <w:i w:val="0"/>
          <w:sz w:val="21"/>
        </w:rPr>
        <w:t>综合所得 20 万 → 23080（20% 档，速算 16920）、3 万 → 900（3%）、工资薪金（年 36 万 − 三险一金 5.4 万 − 专项附加 2.4 万 → 应纳 27480）、年终奖 10 万单独计税 → 9790、择优模式返回 separate/merge 双结果。</w:t>
      </w:r>
    </w:p>
    <w:p>
      <w:pPr>
        <w:pStyle w:val="Heading2"/>
      </w:pPr>
      <w:r>
        <w:t>2.5 财产行为税（6 例）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印花税买卖合同 0.03% → 300、借款合同 0.005% → 50、含税金额自动剔除增值税；房产税从价（500 万原值、30% 减除）→ 42000、从租 12%；土地使用税 1000㎡ 三级 → 18000、自定义单价 9 元 → 9000。</w:t>
      </w:r>
    </w:p>
    <w:p>
      <w:pPr>
        <w:pStyle w:val="Heading2"/>
      </w:pPr>
      <w:r>
        <w:t>2.6 风险与工具（7 例）</w:t>
      </w:r>
    </w:p>
    <w:p>
      <w:r>
        <w:rPr>
          <w:rFonts w:ascii="Times New Roman" w:hAnsi="Times New Roman" w:eastAsia="宋体"/>
          <w:b w:val="0"/>
          <w:i w:val="0"/>
          <w:sz w:val="21"/>
        </w:rPr>
        <w:t>三流一致通过 / 不一致检出、风险打分 70 分定级「高」、税负偏离预警、滞纳金 1 万 × 10 天 → 50、申报期限推算、逾期判定。</w:t>
      </w:r>
    </w:p>
    <w:p>
      <w:pPr>
        <w:pStyle w:val="Heading2"/>
      </w:pPr>
      <w:r>
        <w:t>2.7 校验与权限（2 组）</w:t>
      </w:r>
    </w:p>
    <w:p>
      <w:r>
        <w:rPr>
          <w:rFonts w:ascii="Times New Roman" w:hAnsi="Times New Roman" w:eastAsia="宋体"/>
          <w:b w:val="0"/>
          <w:i w:val="0"/>
          <w:sz w:val="21"/>
        </w:rPr>
        <w:t>主体 / 申报单必填校验；权限通配 *、精确匹配、6 角色完整性。</w:t>
      </w:r>
    </w:p>
    <w:p>
      <w:pPr>
        <w:pStyle w:val="Heading1"/>
      </w:pPr>
      <w:r>
        <w:t>3. API 集成测试（tests/test_api.py，36 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分组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例数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覆盖点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认证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登录成功 / 密码错误 401 / me / 无 token 401 / health 公开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RBAC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 不能申报 403、可只读；auditor 不能开票 403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计算引擎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vat / 别名 vat_invoice / 未知 kind 400 / 小微企税 / 年终奖 / meta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发票流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新建（自动算税 130）→ 详情 → 作废 → 状态复核；进项认证；幂等重放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申报流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列表详情 / 试算 / 建单→申报→缴款闭环 / 已申报删除 409 保护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报表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五张报表 200；CSV 导出带 UTF-8 BOM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风险与同步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清单 / 扫描 / 处置 / 版本号 / 增量拉取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文档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OpenAPI 3.0 描述可用</w:t>
            </w:r>
          </w:p>
        </w:tc>
      </w:tr>
    </w:tbl>
    <w:p>
      <w:pPr>
        <w:spacing w:after="0"/>
      </w:pPr>
    </w:p>
    <w:p>
      <w:pPr>
        <w:pStyle w:val="Heading1"/>
      </w:pPr>
      <w:r>
        <w:t>4. 端到端验证（tools/e2e_check.py，53 项）</w:t>
      </w:r>
    </w:p>
    <w:p>
      <w:r>
        <w:rPr>
          <w:rFonts w:ascii="Times New Roman" w:hAnsi="Times New Roman" w:eastAsia="宋体"/>
          <w:b w:val="0"/>
          <w:i w:val="0"/>
          <w:sz w:val="21"/>
        </w:rPr>
        <w:t>进程内启动干净实例（临时库 + 种子），按前端真实调用顺序逐项验证：health、登录（含错误密码）、me、dashboard、8 组主数据（部门 / 用户 / 主体 / 税种 / 政策）、销项与进项发票列表 / 详情 / 搜索、申报列表 / 详情、15 组计算引擎断言（含别名与精确金额校验）、计算元数据、5 张报表、CSV 双导出、风险清单 / 扫描、凭证 98 张 / 合同 24 份 / 公告 / 日志、OpenAPI、增量同步、reader 权限双断言（禁止申报 + 允许只读）、幂等重放一致性、API Key 创建与鉴权。</w:t>
      </w:r>
    </w:p>
    <w:p>
      <w:pPr>
        <w:pStyle w:val="Heading1"/>
      </w:pPr>
      <w:r>
        <w:t>5. UI 巡检（tools/ui_check.py）</w:t>
      </w:r>
    </w:p>
    <w:p>
      <w:r>
        <w:rPr>
          <w:rFonts w:ascii="Times New Roman" w:hAnsi="Times New Roman" w:eastAsia="宋体"/>
          <w:b w:val="0"/>
          <w:i w:val="0"/>
          <w:sz w:val="21"/>
        </w:rPr>
        <w:t>Playwright 逐页访问 11 个页面，断言无「加载失败」、无控制台 error、无 pageerror、无失败请求：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dash / invoice / input / declare / calc / reports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risk / entity / voucher / policy / system    →  11/11 OK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控制台异常 0 条 · 失败请求 0 条</w:t>
      </w:r>
    </w:p>
    <w:p>
      <w:pPr>
        <w:pStyle w:val="Heading1"/>
      </w:pPr>
      <w:r>
        <w:t>6. 测试中发现并修复的缺陷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缺陷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修复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dashboard 排序 KeyError（declarations 主键是 no 非 id）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SELECT 补 no 列，lambda 改用 x["no"]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列表接口返回结构不统一（有的裸数组）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统一为 {list,total}，9 个接口改造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/api/calc 入参不兼容 camelCase 且缺别名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重写参数兼容层，14 种 kind + 别名表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vat_general 进项传列表时报 'str' has no 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inputs 支持合计数与明细列表双形态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late_fee 传 rate=None 时费率变 0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dec 兜底默认万分之五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个税年度基本减除费常量缺失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补 IIT_SALARY_THRESHOLD=60000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risks/scan 500（D 未定义）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server.py 补 D = Decimal 别名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发票认证接口只收 nos 数组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兼容 {no} 单张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风险指数显示 [object Object]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前端解包 {score,grade,count}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工作台 HTML 拼接三元优先级错误导致 KPI 区丢失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三元表达式补括号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种子无 reader 角色账号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补 reader01 演示账号</w:t>
            </w:r>
          </w:p>
        </w:tc>
      </w:tr>
    </w:tbl>
    <w:p>
      <w:pPr>
        <w:spacing w:after="0"/>
      </w:pPr>
    </w:p>
    <w:p>
      <w:pPr>
        <w:pStyle w:val="Heading1"/>
      </w:pPr>
      <w:r>
        <w:t>7. 结论</w:t>
      </w:r>
    </w:p>
    <w:p>
      <w:r>
        <w:rPr>
          <w:rFonts w:ascii="Times New Roman" w:hAnsi="Times New Roman" w:eastAsia="宋体"/>
          <w:b w:val="0"/>
          <w:i w:val="0"/>
          <w:sz w:val="21"/>
        </w:rPr>
        <w:t>三道质量门禁全部通过，无阻塞缺陷遗留，放行部署。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飞效OA管理系统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