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税 税 务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 目 说 明 与 使 用 手 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十三账号 · 十一页面 · 发票抵扣申报缴款分析风险全流程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飞税税务管理系统建设项目（FeiShui Tax）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飞税科技 · 税务数字化项目组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适用对象：全部 6 角色用户</w:t>
      </w:r>
    </w:p>
    <w:p>
      <w:pPr>
        <w:pStyle w:val="Heading1"/>
      </w:pPr>
      <w:r>
        <w:t>1. 系统定位</w:t>
      </w:r>
    </w:p>
    <w:p>
      <w:r>
        <w:rPr>
          <w:rFonts w:ascii="Times New Roman" w:hAnsi="Times New Roman" w:eastAsia="宋体"/>
          <w:b w:val="0"/>
          <w:i w:val="0"/>
          <w:sz w:val="21"/>
        </w:rPr>
        <w:t>飞税税务管理系统面向集团多主体税务管理场景，覆盖 发票 → 抵扣 → 申报 → 缴款 → 凭证 → 分析 → 风险 全链路，内置 2026 年现行税法口径的计算引擎。</w:t>
      </w:r>
    </w:p>
    <w:p>
      <w:pPr>
        <w:pStyle w:val="Heading1"/>
      </w:pPr>
      <w:r>
        <w:t>2. 账号与角色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用户名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姓名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密码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tax@2026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全部权限、系统参数、密钥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zhangwei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张伟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管理层：查询 + 申报 + 报表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liyan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李燕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tax_accountant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税务主管：开票 / 认证 / 申报 / 凭证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liuyang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刘洋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tax_accountant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税务会计：同上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wangfang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王芳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finance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财务：发票认证 + 报表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xumei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徐梅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finance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总账：凭证管理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hejun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何俊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auditor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内审：只读全业务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reader01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宋洁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报表使用者：只读报表与政策</w:t>
            </w:r>
          </w:p>
        </w:tc>
      </w:tr>
    </w:tbl>
    <w:p>
      <w:pPr>
        <w:spacing w:after="0"/>
      </w:pPr>
    </w:p>
    <w:p>
      <w:pPr>
        <w:pStyle w:val="Heading1"/>
      </w:pPr>
      <w:r>
        <w:t>3. 页面导览（11 页）</w:t>
      </w:r>
    </w:p>
    <w:p>
      <w:pPr>
        <w:pStyle w:val="Heading2"/>
      </w:pPr>
      <w:r>
        <w:t>3.1 工作台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8 个 KPI：主体数、销项 / 进项 / 应纳增值税、申报税额、待缴税额、待申报 / 逾期、待处理风险；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近 6 期销项与申报税额双柱趋势图；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本期税额构成排行（企税 / 增值税 / 个税 / 附加）；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待办申报表（逾期标红，点击跳转申报页）；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纳税主体概况、未处理风险卡、通知公告。</w:t>
      </w:r>
    </w:p>
    <w:p>
      <w:pPr>
        <w:pStyle w:val="Heading2"/>
      </w:pPr>
      <w:r>
        <w:t>3.2 发票管理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筛选：类型（销项 / 进项）、期间、主体、关键词（发票号 / 销方 / 购方）；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汇总条实时显示张数、金额、税额；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点击行打开详情弹窗：票面字段、三流一致校验结果、风险提示；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「+ 新增发票」：选类型 / 主体 / 票种 / 税率，输入金额（可选含税口径），系统自动算税；有 invoice.void 权限可在详情中作废；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「导出 CSV」下载当前筛选的发票台账。</w:t>
      </w:r>
    </w:p>
    <w:p>
      <w:pPr>
        <w:pStyle w:val="Heading2"/>
      </w:pPr>
      <w:r>
        <w:t>3.3 进项抵扣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KPI：进项合计、已认证可抵扣、待认证、张数；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按税率分布、认证状态两张表；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供应商集中度 Top10；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明细区可逐张点击「认证」（校验销方税号与作废状态，不合规拒绝）。</w:t>
      </w:r>
    </w:p>
    <w:p>
      <w:pPr>
        <w:pStyle w:val="Heading2"/>
      </w:pPr>
      <w:r>
        <w:t>3.4 纳税申报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筛选期间 / 主体 / 状态；汇总条显示单数、应纳税额、待缴；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操作列按状态流转：待申报 →「申报」；已申报 →「缴款」（缴款后自动生成凭证）；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「详情」查看计税明细与关联凭证；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「+ 新建申报」：选主体 / 税种 / 期间 → 点「试算」从源数据自动算出应纳 → 保存。</w:t>
      </w:r>
    </w:p>
    <w:p>
      <w:pPr>
        <w:pStyle w:val="Heading2"/>
      </w:pPr>
      <w:r>
        <w:t>3.5 税种计算器（14 个模型）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增值税单票 / 小规模简易 / 一般计税、附加税费、企税年度 / 季度、个税综合 / 工资 / 年终奖、印花税、房产税、土地使用税、综合税负率、滞纳金。填写左侧参数 → 点「计算」，右侧显示核心结果（大字）与完整字段表。计算不入库，可反复调整。</w:t>
      </w:r>
    </w:p>
    <w:p>
      <w:pPr>
        <w:pStyle w:val="Heading2"/>
      </w:pPr>
      <w:r>
        <w:t>3.6 税负分析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期间切换后展示：营业收入、税额合计、综合税负率、涉及税种；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税额趋势双柱图、税额构成（含占比条）、主体税负排行、进项税率结构、供应商 Top10；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导出发票台账 CSV。</w:t>
      </w:r>
    </w:p>
    <w:p>
      <w:pPr>
        <w:pStyle w:val="Heading2"/>
      </w:pPr>
      <w:r>
        <w:t>3.7 风险预警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清单按等级排序（险 → 警 → 提），每条含规则码、权重、明细；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待处理条目可填写处置说明后「标记已处理」或「忽略」；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「重新扫描」按当前期间重跑规则引擎，新增风险即时入列；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筛选条显示风险指数（0~100）。</w:t>
      </w:r>
    </w:p>
    <w:p>
      <w:pPr>
        <w:pStyle w:val="Heading2"/>
      </w:pPr>
      <w:r>
        <w:t>3.8 纳税主体</w:t>
      </w:r>
    </w:p>
    <w:p>
      <w:r>
        <w:rPr>
          <w:rFonts w:ascii="Times New Roman" w:hAnsi="Times New Roman" w:eastAsia="宋体"/>
          <w:b w:val="0"/>
          <w:i w:val="0"/>
          <w:sz w:val="21"/>
        </w:rPr>
        <w:t>8 家主体档案：纳税人身份、行业、法人、人员、资产，小微 / 高新标识；点击行查看详情弹窗（含当期销项 / 进项 / 应纳统计）。</w:t>
      </w:r>
    </w:p>
    <w:p>
      <w:pPr>
        <w:pStyle w:val="Heading2"/>
      </w:pPr>
      <w:r>
        <w:t>3.9 凭证台账</w:t>
      </w:r>
    </w:p>
    <w:p>
      <w:r>
        <w:rPr>
          <w:rFonts w:ascii="Times New Roman" w:hAnsi="Times New Roman" w:eastAsia="宋体"/>
          <w:b w:val="0"/>
          <w:i w:val="0"/>
          <w:sz w:val="21"/>
        </w:rPr>
        <w:t>涉税凭证（申报缴款自动生成 + 手工）与合同台账；KPI 显示印花税合计与待缴数。</w:t>
      </w:r>
    </w:p>
    <w:p>
      <w:pPr>
        <w:pStyle w:val="Heading2"/>
      </w:pPr>
      <w:r>
        <w:t>3.10 政策法规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税率速查卡（13% / 9% / 6% / 3% / 1% / 5% / 0.03% / 1.2%）；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政策清单按税种 / 关键词检索，点击查看全文与标签。</w:t>
      </w:r>
    </w:p>
    <w:p>
      <w:pPr>
        <w:pStyle w:val="Heading2"/>
      </w:pPr>
      <w:r>
        <w:t>3.11 系统管理（5 个页签）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组织用户：8 部门 + 13 用户一览；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角色权限：6 角色的权限点矩阵；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税务参数：城建税档、六税两费减半开关、滞纳金率等 7 项可配参数；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接口密钥：创建 API Key（只显示一次，务必复制保存）、查看对接说明；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操作日志：全部敏感动作审计。</w:t>
      </w:r>
    </w:p>
    <w:p>
      <w:pPr>
        <w:pStyle w:val="Heading1"/>
      </w:pPr>
      <w:r>
        <w:t>4. 常见问题</w:t>
      </w:r>
    </w:p>
    <w:p>
      <w:r>
        <w:rPr>
          <w:rFonts w:ascii="Times New Roman" w:hAnsi="Times New Roman" w:eastAsia="宋体"/>
          <w:b w:val="0"/>
          <w:i w:val="0"/>
          <w:sz w:val="21"/>
        </w:rPr>
        <w:t>Q1：申报期限怎么定？ 系统按税种自动推算（增值税等月度税种为次月 15 日，企税年度为次年 5 月 31 日），到期前 3 天（可配）工作台提醒，逾期标红。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Q2：缴款后凭证从哪来？ 缴款确认后系统自动生成「借：应交税费 / 贷：银行存款」凭证，可在凭证台账查看。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Q3：进项发票为什么认证不了？ 三种情况会被拒绝：销方税号缺失、发票已作废、非进项发票。先在发票管理核实票面信息。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Q4：三流不一致是什么意思？ 指发票流（开票双方）、合同流（合同签订方与金额）、资金流（付款方）交叉比对不一致。系统自动出「险」级风险，需人工核查是否虚开或合同变更未同步。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Q5：小微企业税率怎么算？ 应纳税所得额 ≤300 万、从业 ≤300 人、资产 ≤5000 万，减按 25% 计入 × 20%，实际税负 5%。纳税主体档案中维护小微标识后，申报试算自动套用。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Q6：外部系统怎么对接？ 系统管理 → 接口密钥创建 Key（read / write / full），请求头带 X-Tax-Key；增量数据用 /api/sync；完整契约见《API 接口契约》文档或在线 /api/apidoc。</w:t>
      </w:r>
    </w:p>
    <w:p>
      <w:pPr>
        <w:pStyle w:val="Heading1"/>
      </w:pPr>
      <w:r>
        <w:t>5. 操作技巧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工作台 KPI 卡点击数字即跳转对应页面；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计算器结果区的字段表可直接复制给业务方做测算说明；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发票 / 申报列表均可导出 CSV（UTF-8 BOM，Excel 直接打开不乱码）；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移动端（≤820px）侧边栏自动折叠为顶部横排。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