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税 税 务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54 REST 路由 · API Key · 幂等 · 增量同步 · OpenAPI 3.0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飞税税务管理系统建设项目（FeiShui Tax）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飞税科技 · 税务数字化项目组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Base URL：http://&lt;host&gt;:8024（nginx 部署时为 http://&lt;host&gt;/tax）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协议：REST + JSON</w:t>
      </w:r>
    </w:p>
    <w:p>
      <w:r>
        <w:rPr>
          <w:rFonts w:ascii="Times New Roman" w:hAnsi="Times New Roman" w:eastAsia="宋体"/>
          <w:b w:val="0"/>
          <w:i w:val="0"/>
          <w:sz w:val="21"/>
        </w:rPr>
        <w:t>OpenAPI：GET /api/apidoc 返回 OpenAPI 3.0 描述，可直接导入 Postman / Apifox</w:t>
      </w:r>
    </w:p>
    <w:p>
      <w:pPr>
        <w:pStyle w:val="Heading1"/>
      </w:pPr>
      <w:r>
        <w:t>1. 通用约定</w:t>
      </w:r>
    </w:p>
    <w:p>
      <w:pPr>
        <w:pStyle w:val="Heading2"/>
      </w:pPr>
      <w:r>
        <w:t>1.1 统一响应包</w:t>
      </w:r>
    </w:p>
    <w:p>
      <w:r>
        <w:rPr>
          <w:rFonts w:ascii="Times New Roman" w:hAnsi="Times New Roman" w:eastAsia="宋体"/>
          <w:b w:val="0"/>
          <w:i w:val="0"/>
          <w:sz w:val="21"/>
        </w:rPr>
        <w:t>所有接口返回：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"code": 200, "message": "ok", "data": { } }</w:t>
      </w:r>
    </w:p>
    <w:p>
      <w:r>
        <w:rPr>
          <w:rFonts w:ascii="Times New Roman" w:hAnsi="Times New Roman" w:eastAsia="宋体"/>
          <w:b w:val="0"/>
          <w:i w:val="0"/>
          <w:sz w:val="21"/>
        </w:rPr>
        <w:t>code 与 HTTP 状态码一致：200 成功 / 400 参数错误 / 401 未认证 / 403 无权限 / 404 不存在 / 409 状态冲突 / 500 服务器异常。</w:t>
      </w:r>
    </w:p>
    <w:p>
      <w:pPr>
        <w:pStyle w:val="Heading2"/>
      </w:pPr>
      <w:r>
        <w:t>1.2 鉴权（五通道任选其一）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Authorization: Bearer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X-Tax-Token: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Cookie: tax_token=&lt;token&gt;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?token=&lt;token&gt;            # URL 参数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X-Tax-Key: &lt;api-key&gt;      # 系统对接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Token：登录获取（POST /api/auth/login），SHA-256 落库；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Key：系统管理页创建，作用域 read / write / full，仅显示一次。</w:t>
      </w:r>
    </w:p>
    <w:p>
      <w:pPr>
        <w:pStyle w:val="Heading2"/>
      </w:pPr>
      <w:r>
        <w:t>1.3 幂等</w:t>
      </w:r>
    </w:p>
    <w:p>
      <w:r>
        <w:rPr>
          <w:rFonts w:ascii="Times New Roman" w:hAnsi="Times New Roman" w:eastAsia="宋体"/>
          <w:b w:val="0"/>
          <w:i w:val="0"/>
          <w:sz w:val="21"/>
        </w:rPr>
        <w:t>所有写接口支持 Idempotency-Key 请求头。同一 Key 重复提交，返回首次结果（不重复执行）。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Idempotency-Key: ERP-PO-2026-0001</w:t>
      </w:r>
    </w:p>
    <w:p>
      <w:pPr>
        <w:pStyle w:val="Heading2"/>
      </w:pPr>
      <w:r>
        <w:t>1.4 增量同步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/api/sync/version                       → {"invoices": 35, "declarations": 42, ...}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/api/sync?version=invoices:35&amp;entities=invoices,declarations</w:t>
      </w:r>
    </w:p>
    <w:p>
      <w:r>
        <w:rPr>
          <w:rFonts w:ascii="Times New Roman" w:hAnsi="Times New Roman" w:eastAsia="宋体"/>
          <w:b w:val="0"/>
          <w:i w:val="0"/>
          <w:sz w:val="21"/>
        </w:rPr>
        <w:t>版本号一致时该实体不返回数据；变化时返回全量行。对接方按实体本地保存版本号即可实现准实时同步。</w:t>
      </w:r>
    </w:p>
    <w:p>
      <w:pPr>
        <w:pStyle w:val="Heading2"/>
      </w:pPr>
      <w:r>
        <w:t>1.5 命名兼容</w:t>
      </w:r>
    </w:p>
    <w:p>
      <w:r>
        <w:rPr>
          <w:rFonts w:ascii="Times New Roman" w:hAnsi="Times New Roman" w:eastAsia="宋体"/>
          <w:b w:val="0"/>
          <w:i w:val="0"/>
          <w:sz w:val="21"/>
        </w:rPr>
        <w:t>计算器入参同时接受 snake_case 与 camelCase（如 tax_rate / taxRate）。</w:t>
      </w:r>
    </w:p>
    <w:p>
      <w:pPr>
        <w:pStyle w:val="Heading2"/>
      </w:pPr>
      <w:r>
        <w:t>1.6 分页与筛选</w:t>
      </w:r>
    </w:p>
    <w:p>
      <w:r>
        <w:rPr>
          <w:rFonts w:ascii="Times New Roman" w:hAnsi="Times New Roman" w:eastAsia="宋体"/>
          <w:b w:val="0"/>
          <w:i w:val="0"/>
          <w:sz w:val="21"/>
        </w:rPr>
        <w:t>列表接口统一返回 {list, total}；发票、申报等大表额外返回汇总字段（sumAmount / sumTax 等）。筛选参数直接拼 Query，如：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/api/invoices?kind=销项&amp;period=2026-10&amp;entity=E01&amp;kw=武汉</w:t>
      </w:r>
    </w:p>
    <w:p>
      <w:pPr>
        <w:pStyle w:val="Heading1"/>
      </w:pPr>
      <w:r>
        <w:t>2. 认证接口</w:t>
      </w:r>
    </w:p>
    <w:p>
      <w:pPr>
        <w:pStyle w:val="Heading2"/>
      </w:pPr>
      <w:r>
        <w:t>2.1 登录</w:t>
      </w:r>
    </w:p>
    <w:p>
      <w:r>
        <w:rPr>
          <w:rFonts w:ascii="Times New Roman" w:hAnsi="Times New Roman" w:eastAsia="宋体"/>
          <w:b w:val="0"/>
          <w:i w:val="0"/>
          <w:sz w:val="21"/>
        </w:rPr>
        <w:t>POST /api/auth/login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请求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"username": "admin", "password": "tax@2026" }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响应 data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"token": "a1b2c3...",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"user": {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"username": "admin", "name": "系统管理员", "role": "admin",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"roleLabel": "系统管理员", "dept": "D100", "deptName": "集团总部",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"perms": ["*"]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}</w:t>
      </w:r>
    </w:p>
    <w:p>
      <w:pPr>
        <w:pStyle w:val="Heading2"/>
      </w:pPr>
      <w:r>
        <w:t>2.2 当前用户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/api/auth/me → data 为用户对象（同上 user）。</w:t>
      </w:r>
    </w:p>
    <w:p>
      <w:pPr>
        <w:pStyle w:val="Heading2"/>
      </w:pPr>
      <w:r>
        <w:t>2.3 登出 / 改密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/api/auth/logout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/api/auth/change-password　{ "old": "...", "new": "..." }</w:t>
      </w:r>
    </w:p>
    <w:p>
      <w:pPr>
        <w:pStyle w:val="Heading1"/>
      </w:pPr>
      <w:r>
        <w:t>3. 计算引擎（核心对接点）</w:t>
      </w:r>
    </w:p>
    <w:p>
      <w:pPr>
        <w:pStyle w:val="Heading2"/>
      </w:pPr>
      <w:r>
        <w:t>3.1 通用计算</w:t>
      </w:r>
    </w:p>
    <w:p>
      <w:r>
        <w:rPr>
          <w:rFonts w:ascii="Times New Roman" w:hAnsi="Times New Roman" w:eastAsia="宋体"/>
          <w:b w:val="0"/>
          <w:i w:val="0"/>
          <w:sz w:val="21"/>
        </w:rPr>
        <w:t>POST /api/calc（权限 tax.read）　请求带 kind 字段，不入库。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kind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关键入参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关键出参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增值税单票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amount, rate, inclusive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net / tax / gross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vat_general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一般计税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outputs[], inputs[], prior_credit, transfer_out, additional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out_tax / in_tax / payable / carry_forward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vat_small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小规模简易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sales, quarterly, has_realestate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exempt / rate / tax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surtax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附加税费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vat_payable, city_type, halve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items[] / total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cit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企税年度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profit, small_profit, rate, adjust_add/less, loss_carry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taxable / tax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cit_q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企税季度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profit, prior_paid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iit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个税综合所得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taxable_income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rate / quick / tax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iit_salary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个税工资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gross, social_insurance, special_deduct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taxable / tax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iit_bonus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年终奖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bonus, mode(separate/merge/best), salary_taxable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separate / merge / best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stamp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印花税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type(税目), amount, vat_excluded, vat_rate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base / rate / tax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house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房产税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mode(value/rent), original_value, rent, deduct_ratio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 / note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land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土地使用税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area, grade(1~6), unit_rate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unit_rate / tax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burden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综合税负率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revenue, vat, surtax, cit, stamp...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items[] / burden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three_flow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三流一致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invoice{amount, contract_amount, seller_name...}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ok / issues[]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late_fee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滞纳金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tax, days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fee / rate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示例（企税小微）：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POST /api/calc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"kind": "cit", "profit": 2800000, "small_profit": true }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→ data: { "taxable": 2800000.0, "rate": "0.05", "tax": 140000.0,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"note": "小型微利企业：减按 25% 计入 × 20%" }</w:t>
      </w:r>
    </w:p>
    <w:p>
      <w:pPr>
        <w:pStyle w:val="Heading2"/>
      </w:pPr>
      <w:r>
        <w:t>3.2 计算元数据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/api/calc/meta → 增值税税率表、附加税率、城建税档、印花税税目、个税级距、年终奖级距、土地等级、小微标准。前端下拉与外部系统校验共用。</w:t>
      </w:r>
    </w:p>
    <w:p>
      <w:pPr>
        <w:pStyle w:val="Heading1"/>
      </w:pPr>
      <w:r>
        <w:t>4. 发票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/api/invoices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列表：kind / period / entity / status / verify / kw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/api/invoices/{no}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详情：含明细行、风险提示、三流校验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/api/invoices/save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新增 / 编辑（自动算税）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/api/invoices/{no}/void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invoice.void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作废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/api/invoices/verify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input.verify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进项认证，{nos:[...]} 或 {no:"..."}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开票请求示例：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POST /api/invoices/save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Idempotency-Key: ERP-INV-2026-0777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"kind": "销项",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"entity": "E01",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"invoice_type": "增值税专用发票",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"rate": "13%",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"amount": 113000,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"inclusive": true,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"buyer_name": "武汉智能制造股份有限公司",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"buyer_tax_no": "91420100000099999F",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"biz_date": "2026-10-22",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"contract_no": "HT0001",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"contract_amount": 113000,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"items": [{"goods": "软件服务", "qty": 1, "amount": 100000}]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}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→ data: { "no": "XX0409", "created": true,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"amount": 100000.0, "tax": 13000.0, "total": 113000.0 }</w:t>
      </w:r>
    </w:p>
    <w:p>
      <w:pPr>
        <w:pStyle w:val="Heading1"/>
      </w:pPr>
      <w:r>
        <w:t>5. 纳税申报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列表：entity / tax_type / period / status / kw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详情：含计税明细、关联凭证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/api/declarations/calc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tax.calc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试算（不落库）：entity + tax_type + period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tax.declare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 / 更新申报单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/api/declarations/{no}/file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tax.declare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申报（→已申报）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/api/declarations/{no}/pay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tax.declare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缴款（→已缴款，自动生成凭证）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/api/declarations/{no}/delete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tax.declare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删除（仅草稿/待申报）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状态机：草稿 → 待申报 → 已申报 → 已缴款；file 后不可删，409 保护。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试算响应（增值税）示例：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POST /api/declarations/calc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"entity": "E01", "tax_type": "增值税", "period": "2026-10" }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→ data: { "mode": "一般计税", "out_tax": 214327.56, "in_tax": 131810.63,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"payable": 82516.93, "surtax": 9902.03, "total": 92418.96 }</w:t>
      </w:r>
    </w:p>
    <w:p>
      <w:pPr>
        <w:pStyle w:val="Heading1"/>
      </w:pPr>
      <w:r>
        <w:t>6. 报表分析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/api/reports/flow?period=&amp;entity=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按主体税负率排行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/api/reports/trend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近 6 期销项 / 进项 / 应纳 / 申报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/api/reports/type?period=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按税种汇总（含占比）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/api/reports/input?period=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进项结构：税率 / 认证 / 供应商 Top10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/api/reports/summary?period=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四合一总览（大屏推荐）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/api/reports/export?type=invoice\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declaration&amp;period=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CSV（UTF-8 BOM）</w:t>
            </w:r>
          </w:p>
        </w:tc>
      </w:tr>
    </w:tbl>
    <w:p>
      <w:pPr>
        <w:spacing w:after="0"/>
      </w:pPr>
    </w:p>
    <w:p>
      <w:pPr>
        <w:pStyle w:val="Heading1"/>
      </w:pPr>
      <w:r>
        <w:t>7. 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/api/risks?status=&amp;level=&amp;entity=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风险清单 + openScore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/api/risks/scan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按期间重扫规则，data.created 为新增列表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/api/risks/{id}/close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{status:"已处理"/"已忽略", memo:"..."}</w:t>
            </w:r>
          </w:p>
        </w:tc>
      </w:tr>
    </w:tbl>
    <w:p>
      <w:pPr>
        <w:spacing w:after="0"/>
      </w:pPr>
    </w:p>
    <w:p>
      <w:pPr>
        <w:pStyle w:val="Heading1"/>
      </w:pPr>
      <w:r>
        <w:t>8. 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/api/entities　GET /api/entities/{code}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纳税主体（详情含当期统计）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/api/entities/save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新增 / 编辑主体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/api/tax-types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 大税种定义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/api/policies?tax_type=&amp;kw=　GET /api/policies/{id}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政策库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/api/depts　GET /api/users　POST /api/users/save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组织与用户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/api/roles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角色权限矩阵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/api/vouchers　POST /api/vouchers/save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涉税凭证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　POST /api/contracts/save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合同（自动算印花税）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公告</w:t>
            </w:r>
          </w:p>
        </w:tc>
      </w:tr>
    </w:tbl>
    <w:p>
      <w:pPr>
        <w:spacing w:after="0"/>
      </w:pPr>
    </w:p>
    <w:p>
      <w:pPr>
        <w:pStyle w:val="Heading1"/>
      </w:pPr>
      <w:r>
        <w:t>9. 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/api/apidoc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OpenAPI 3.0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/api/rules　POST /api/rules/save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tax.read / system.write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税务参数（城建税档、减半开关、滞纳金率等）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　POST /api/api-keys/create　POST /api/api-keys/{id}/delete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system.*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接口密钥管理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/api/sync/version　GET /api/sync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公开/token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增量同步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/api/dashboard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tax.read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工作台 KPI + 趋势 + 待办</w:t>
            </w:r>
          </w:p>
        </w:tc>
      </w:tr>
    </w:tbl>
    <w:p>
      <w:pPr>
        <w:spacing w:after="0"/>
      </w:pPr>
    </w:p>
    <w:p>
      <w:pPr>
        <w:pStyle w:val="Heading1"/>
      </w:pPr>
      <w:r>
        <w:t>10. 错误码表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示例 message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参数错误 / 业务校验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未知计算类型：xxx / 金额必须大于 0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401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未登录 / token 失效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未认证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403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权限不足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无权限：invoice.void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资源不存在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发票不存在：XX9999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409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状态冲突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已申报或已缴款的单据不可删除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服务器异常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服务器开小差了：...</w:t>
            </w:r>
          </w:p>
        </w:tc>
      </w:tr>
    </w:tbl>
    <w:p>
      <w:pPr>
        <w:spacing w:after="0"/>
      </w:pPr>
    </w:p>
    <w:p>
      <w:pPr>
        <w:pStyle w:val="Heading1"/>
      </w:pPr>
      <w:r>
        <w:t>11. 对接示例（Python）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import requests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BASE = "http://10.0.0.8:8024"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KEY = {"X-Tax-Key": "sk_xxxxxxxxxxxxxxxx"}        # API Key 通道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1) ERP 推送采购发票（幂等）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 = requests.post(BASE + "/api/invoices/save", headers={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**KEY, "Idempotency-Key": "ERP-INV-2026-0777"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}, json={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"kind": "进项", "entity": "E02", "rate": "13%",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"amount": 904000, "inclusive": False,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"seller_name": "某商贸有限公司", "seller_tax_no": "91320500MA1XX0XX0X",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"biz_date": "2026-10-21", "contract_no": "HT0012", "contract_amount": 700000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})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print(r.json())   # code=200, data.no=XX0410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2) 财务系统每小时拉申报增量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ver = requests.get(BASE + "/api/sync/version", headers=KEY).json()["data"]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delta = requests.get(BASE + "/api/sync",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        params={"version": f"declarations:{ver['declarations']}"},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        headers=KEY).json()["data"]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3) 试算小微企税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 = requests.post(BASE + "/api/calc", headers=KEY,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     json={"kind": "cit", "profit": 2800000, "small_profit": True})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assert r.json()["data"]["tax"] == 140000.0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