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税 税 务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全税种口径 · 申报闭环 · 风险前置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飞税税务管理系统建设项目（FeiShui Tax）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飞税科技 · 税务数字化项目组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　密级：内部</w:t>
      </w:r>
    </w:p>
    <w:p>
      <w:r>
        <w:rPr>
          <w:rFonts w:ascii="Times New Roman" w:hAnsi="Times New Roman" w:eastAsia="宋体"/>
          <w:b w:val="0"/>
          <w:i w:val="0"/>
          <w:sz w:val="21"/>
        </w:rPr>
        <w:t>口径基准：《中华人民共和国增值税法》（2026-01-01 施行）及现行税收优惠政策</w:t>
      </w:r>
    </w:p>
    <w:p>
      <w:pPr>
        <w:pStyle w:val="Heading1"/>
      </w:pPr>
      <w:r>
        <w:t>1. 项目背景与目标</w:t>
      </w:r>
    </w:p>
    <w:p>
      <w:pPr>
        <w:pStyle w:val="Heading2"/>
      </w:pPr>
      <w:r>
        <w:t>1.1 背景</w:t>
      </w:r>
    </w:p>
    <w:p>
      <w:r>
        <w:rPr>
          <w:rFonts w:ascii="Times New Roman" w:hAnsi="Times New Roman" w:eastAsia="宋体"/>
          <w:b w:val="0"/>
          <w:i w:val="0"/>
          <w:sz w:val="21"/>
        </w:rPr>
        <w:t>集团下属 8 家纳税主体，覆盖软件、制造、商贸、建筑、咨询、文化、物流、新能源八大行业，纳税人身份横跨一般纳税人与小规模纳税人。当前税务工作存在以下痛点：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数据分散：发票、申报、凭证分别在不同系统或线下 Excel，集团层面无法一屏总览；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口径不统一：各主体自行套用税率与优惠政策，税收口径（如六税两费减半、小微 5%）执行有偏差；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风险滞后：三流不一致、税负异常等问题在税务检查时才暴露，缺乏事前预警；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对接困难：与 ERP、财务核算系统无标准接口，月末对账靠人工导出导入。</w:t>
      </w:r>
    </w:p>
    <w:p>
      <w:pPr>
        <w:pStyle w:val="Heading2"/>
      </w:pPr>
      <w:r>
        <w:t>1.2 建设目标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度量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全税种一平台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增值税、附加税费、企业所得税、个人所得税、印花税、房产税、城镇土地使用税等 8 大税种统一管理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计算零误差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计算内核全部基于 Decimal 精确十进制，杜绝浮点误差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申报全流程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试算 → 填报 → 申报 → 缴款 → 凭证，闭环留痕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风险前置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内置规则引擎，扫描三流不一致、税负偏离、进项转出缺失等 7 类信号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开放对接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54 个 REST 接口 + OpenAPI 3.0 描述 + 增量同步协议，预留 ERP / 财务 / 资金系统对接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设计原则</w:t>
      </w:r>
    </w:p>
    <w:p>
      <w:r>
        <w:rPr>
          <w:rFonts w:ascii="Times New Roman" w:hAnsi="Times New Roman" w:eastAsia="宋体"/>
          <w:b w:val="0"/>
          <w:i w:val="0"/>
          <w:sz w:val="21"/>
        </w:rPr>
        <w:t>1. 零依赖部署：仅 Python 3.9+ 标准库（http.server + sqlite3），无 pip install，单机即可运行；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纯函数内核：税法计算（tax.py）不碰数据库、无 IO，可独立单元测试；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统一响应包：{code, message, data}，code 与 HTTP 状态码一致；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权限最小化：6 角色 × 细粒度权限点，接口级强制校验；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幂等与增量：写接口支持 Idempotency-Key，读接口支持版本号增量同步。</w:t>
      </w:r>
    </w:p>
    <w:p>
      <w:pPr>
        <w:pStyle w:val="Heading1"/>
      </w:pPr>
      <w:r>
        <w:t>2. 税种口径（政策依据）</w:t>
      </w:r>
    </w:p>
    <w:p>
      <w:pPr>
        <w:pStyle w:val="Heading2"/>
      </w:pPr>
      <w:r>
        <w:t>2.1 增值税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法定税率：13% / 9% / 6% / 0%（销售、进口货物与服务适用）；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征收率：3%（2026 年起取消 5%）；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小规模优惠：月销售额 ≤10 万元（季 ≤30 万元）免征；超过起征点的，3% 征收率减按 1%（政策延续至 2027-12-31，不含销售/出租不动产、转让土地使用权）；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一般计税：应纳税额 = 销项税额 −（进项税额 + 上期留抵 + 加计抵减 − 进项转出），不足抵扣部分形成期末留抵。</w:t>
      </w:r>
    </w:p>
    <w:p>
      <w:pPr>
        <w:pStyle w:val="Heading2"/>
      </w:pPr>
      <w:r>
        <w:t>2.2 附加税费（随增值税征收）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税费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市区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县城/镇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其他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城建税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7%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5%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1%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教育费附加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3%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3%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3%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地方教育附加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2%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2%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2%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小型微利企业 / 小规模纳税人享受六税两费减半（2023-01-01 ~ 2027-12-31），月销售额 ≤10 万元免征教育费附加、地方教育附加。</w:t>
      </w:r>
    </w:p>
    <w:p>
      <w:pPr>
        <w:pStyle w:val="Heading2"/>
      </w:pPr>
      <w:r>
        <w:t>2.3 企业所得税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基本税率 25%，高新技术企业 15%；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小型微利企业（应纳税所得额 ≤300 万、从业 ≤300 人、资产 ≤5000 万）：减按 25% 计入 × 20% = 实际税负 5%；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支持纳税调增 / 调减、弥补以前年度亏损、研发费用加计扣除。</w:t>
      </w:r>
    </w:p>
    <w:p>
      <w:pPr>
        <w:pStyle w:val="Heading2"/>
      </w:pPr>
      <w:r>
        <w:t>2.4 个人所得税</w:t>
      </w:r>
    </w:p>
    <w:p>
      <w:r>
        <w:rPr>
          <w:rFonts w:ascii="Times New Roman" w:hAnsi="Times New Roman" w:eastAsia="宋体"/>
          <w:b w:val="0"/>
          <w:i w:val="0"/>
          <w:sz w:val="21"/>
        </w:rPr>
        <w:t>综合所得七级超额累进（年）：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应纳税所得额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税率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速算扣除数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≤36,000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36,000 ~ 144,000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10%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2,520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144,000 ~ 300,000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16,920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300,000 ~ 420,000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25%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31,920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420,000 ~ 660,000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52,920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660,000 ~ 960,000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35%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85,920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&gt;960,000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45%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181,920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工资薪金应纳税所得额 = 年收入 − 6 万基本减除 − 三险一金 − 专项附加扣除 − 其他扣除。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全年一次性奖金（2023 年第 30 号公告，至 2027-12-31）：可单独计税（÷12 查按月表）或并入综合所得，系统自动比较择优。</w:t>
      </w:r>
    </w:p>
    <w:p>
      <w:pPr>
        <w:pStyle w:val="Heading2"/>
      </w:pPr>
      <w:r>
        <w:t>2.5 印花税（17 税目 5 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档位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税率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税目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万分之零点五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0.005%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借款合同、融资租赁合同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万分之三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0.03%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买卖、承揽、建设工程、运输、技术合同、知识产权转让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千分之一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0.1%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租赁、保管、仓储、财产保险合同、证券交易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万分之五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0.05%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产权转移、股权转让书据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万分之二点五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0.025%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营业账簿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计税依据默认不含增值税（合同单独列明增值税的）。</w:t>
      </w:r>
    </w:p>
    <w:p>
      <w:pPr>
        <w:pStyle w:val="Heading2"/>
      </w:pPr>
      <w:r>
        <w:t>2.6 房产税 / 城镇土地使用税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房产税从价：应税原值 ×（1−10%~30% 减除）× 1.2%/年；从租：租金 × 12%；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城镇土地使用税：按土地等级 1.5 ~ 30 元/㎡·年（系统 6 级可配）。</w:t>
      </w:r>
    </w:p>
    <w:p>
      <w:pPr>
        <w:pStyle w:val="Heading2"/>
      </w:pPr>
      <w:r>
        <w:t>2.7 滞纳金</w:t>
      </w:r>
    </w:p>
    <w:p>
      <w:r>
        <w:rPr>
          <w:rFonts w:ascii="Times New Roman" w:hAnsi="Times New Roman" w:eastAsia="宋体"/>
          <w:b w:val="0"/>
          <w:i w:val="0"/>
          <w:sz w:val="21"/>
        </w:rPr>
        <w:t>自滞纳之日起按日加收滞纳税款的万分之五（税收征管法第 32 条）。</w:t>
      </w:r>
    </w:p>
    <w:p>
      <w:pPr>
        <w:pStyle w:val="Heading1"/>
      </w:pPr>
      <w:r>
        <w:t>3. 总体架构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┌────────────────────────────────────────────────┐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前端 SPA（原生 JS，无框架）                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工作台 / 发票 / 进项 / 申报 / 计算器 / 税负分析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风险预警 / 主体 / 凭证 / 政策库 / 系统管理   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├────────────────────────────────────────────────┤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服务层 server.py（54 路由，ThreadingHTTPServer）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统一响应 {code,message,data} · 鉴权五通道   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幂等 Idempotency-Key · 增量同步 · CSV 导出   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├──────────────────────┬─────────────────────────┤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税计算内核 tax.py     │  数据层 db.py      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纯函数 · Decimal      │  SQLite WAL · 19 表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10 类税种 + 风险规则   │  8 索引 · 版本号同步   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└──────────────────────┴─────────────────────────┘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↑ 外部系统：ERP / 财务核算 / 资金 / 开票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REST + API Key + 增量同步</w:t>
      </w:r>
    </w:p>
    <w:p>
      <w:pPr>
        <w:pStyle w:val="Heading2"/>
      </w:pPr>
      <w:r>
        <w:t>3.1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技术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原生 JS SPA + hash 路由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无构建链，11 页面单页应用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http.server.ThreadingHTTPServer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多线程，零依赖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 WAL 模式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单文件库，支持并发读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计算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decimal.Decimal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精确到分，四舍五入 ROUND_HALF_UP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鉴权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Token（SHA-256 存储）+ API Key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五通道，权限通配</w:t>
            </w:r>
          </w:p>
        </w:tc>
      </w:tr>
    </w:tbl>
    <w:p>
      <w:pPr>
        <w:spacing w:after="0"/>
      </w:pPr>
    </w:p>
    <w:p>
      <w:pPr>
        <w:pStyle w:val="Heading2"/>
      </w:pPr>
      <w:r>
        <w:t>3.2 数据模型（19 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分组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组织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depts, users, tokens, api_keys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部门 / 用户 / 令牌 / 接口密钥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主体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entities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 家纳税主体，含小微、高新标识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发票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invoices, invoice_items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销项/进项台账与明细行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申报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declarations, tax_types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112 张申报单、8 大税种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凭证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vouchers, contracts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涉税凭证、合同与印花税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险/警/提三级风险信号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policies, notices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法规库、公告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支撑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logs, idem_keys, sync_state, tax_rules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审计、幂等、同步、参数</w:t>
            </w:r>
          </w:p>
        </w:tc>
      </w:tr>
    </w:tbl>
    <w:p>
      <w:pPr>
        <w:spacing w:after="0"/>
      </w:pPr>
    </w:p>
    <w:p>
      <w:pPr>
        <w:pStyle w:val="Heading1"/>
      </w:pPr>
      <w:r>
        <w:t>4. 核心功能设计</w:t>
      </w:r>
    </w:p>
    <w:p>
      <w:pPr>
        <w:pStyle w:val="Heading2"/>
      </w:pPr>
      <w:r>
        <w:t>4.1 发票管理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销项 / 进项统一台账，专票 / 普票 / 电子发票；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新增开票自动算税（含税 / 不含税双口径）；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进项发票勾选认证（校验销方税号、作废状态）；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三流一致校验：发票流（开票双方）、合同流（合同签订方与金额）、资金流（付款方）交叉比对，不一致自动出「险」级信号；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单张发票作废留痕。</w:t>
      </w:r>
    </w:p>
    <w:p>
      <w:pPr>
        <w:pStyle w:val="Heading2"/>
      </w:pPr>
      <w:r>
        <w:t>4.2 纳税申报</w:t>
      </w:r>
    </w:p>
    <w:p>
      <w:r>
        <w:rPr>
          <w:rFonts w:ascii="Times New Roman" w:hAnsi="Times New Roman" w:eastAsia="宋体"/>
          <w:b w:val="0"/>
          <w:i w:val="0"/>
          <w:sz w:val="21"/>
        </w:rPr>
        <w:t>状态机：草稿 → 待申报 → 已申报 → 已缴款（不可逆，已申报后禁止删除）。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1. 试算：按主体 + 税种 + 期间从发票、工资等源数据自动算出计税依据与应纳税额；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填报：保存为申报单，可人工调整；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申报：锁定单据，记录申报时间与期限；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缴款：登记缴款并自动生成会计凭证（借：应交税费 / 贷：银行存款）；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逾期预警：申报期限前 N 天提醒（N 可配），逾期标红。</w:t>
      </w:r>
    </w:p>
    <w:p>
      <w:pPr>
        <w:pStyle w:val="Heading2"/>
      </w:pPr>
      <w:r>
        <w:t>4.3 税种计算器</w:t>
      </w:r>
    </w:p>
    <w:p>
      <w:r>
        <w:rPr>
          <w:rFonts w:ascii="Times New Roman" w:hAnsi="Times New Roman" w:eastAsia="宋体"/>
          <w:b w:val="0"/>
          <w:i w:val="0"/>
          <w:sz w:val="21"/>
        </w:rPr>
        <w:t>13 个计算模型即时试算（不入库）：增值税单票 / 小规模 / 一般计税、附加税费、企税年度 / 季度、个税综合 / 工资 / 年终奖、印花税（单笔 / 批量）、房产税、土地使用税、综合税负率、滞纳金。入参兼容 snake_case 与 camelCase。</w:t>
      </w:r>
    </w:p>
    <w:p>
      <w:pPr>
        <w:pStyle w:val="Heading2"/>
      </w:pPr>
      <w:r>
        <w:t>4.4 税负分析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综合税负率 = 税额合计 ÷ 营业收入；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按主体、按税种两个维度的税额排行与占比；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近 6 期销项 / 进项 / 申报趋势图；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进项税率结构、认证状态、供应商集中度 Top10；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税负偏离预警：与行业均值偏离超容差（默认 30%）出「警」级信号。</w:t>
      </w:r>
    </w:p>
    <w:p>
      <w:pPr>
        <w:pStyle w:val="Heading2"/>
      </w:pPr>
      <w:r>
        <w:t>4.5 风险预警</w:t>
      </w:r>
    </w:p>
    <w:p>
      <w:r>
        <w:rPr>
          <w:rFonts w:ascii="Times New Roman" w:hAnsi="Times New Roman" w:eastAsia="宋体"/>
          <w:b w:val="0"/>
          <w:i w:val="0"/>
          <w:sz w:val="21"/>
        </w:rPr>
        <w:t>内置规则引擎（可扩展）：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规则码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CONTRACT_MISMATCH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险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进项发票金额与合同金额不一致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BURDEN_LOW / BURDEN_HIGH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警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税负率偏离行业均值超容差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INPUT_TRANSFER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警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购进用于集体福利/免税项目未做进项转出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INV_NO_TAX_NO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警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进项专票销方税号为空，不得抵扣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CITY_RATE_MISMATCH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提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城建税适用税率与注册地不符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INVOICE_OVER_LIMIT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单张发票金额超上限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DECL_OVERDUE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险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申报逾期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每条信号带权重，汇总为 0~100 风险指数（≥70 高 / ≥40 中 / &gt;0 低），支持处置与忽略留痕。</w:t>
      </w:r>
    </w:p>
    <w:p>
      <w:pPr>
        <w:pStyle w:val="Heading2"/>
      </w:pPr>
      <w:r>
        <w:t>4.6 政策库</w:t>
      </w:r>
    </w:p>
    <w:p>
      <w:r>
        <w:rPr>
          <w:rFonts w:ascii="Times New Roman" w:hAnsi="Times New Roman" w:eastAsia="宋体"/>
          <w:b w:val="0"/>
          <w:i w:val="0"/>
          <w:sz w:val="21"/>
        </w:rPr>
        <w:t>现行有效法规汇编（增值税法、六税两费、年终奖、印花税法等 8 篇起步），支持按税种 / 关键词检索，附税率速查卡。</w:t>
      </w:r>
    </w:p>
    <w:p>
      <w:pPr>
        <w:pStyle w:val="Heading1"/>
      </w:pPr>
      <w:r>
        <w:t>5. 安全与权限</w:t>
      </w:r>
    </w:p>
    <w:p>
      <w:pPr>
        <w:pStyle w:val="Heading2"/>
      </w:pPr>
      <w:r>
        <w:t>5.1 鉴权五通道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1. Authorization: Bearer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2. X-Tax-Token: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3. Cookie: tax_token=&lt;token&gt;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4. ?token=&lt;token&gt;          （文件导出等场景）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5. X-Tax-Key: &lt;api key&gt;    （系统对接）</w:t>
      </w:r>
    </w:p>
    <w:p>
      <w:r>
        <w:rPr>
          <w:rFonts w:ascii="Times New Roman" w:hAnsi="Times New Roman" w:eastAsia="宋体"/>
          <w:b w:val="0"/>
          <w:i w:val="0"/>
          <w:sz w:val="21"/>
        </w:rPr>
        <w:t>Token 与 API Key 均以 SHA-256 摘要落库，泄库不泄密。</w:t>
      </w:r>
    </w:p>
    <w:p>
      <w:pPr>
        <w:pStyle w:val="Heading2"/>
      </w:pPr>
      <w:r>
        <w:t>5.2 角色矩阵（6 角色）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典型权限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 系统管理员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*（全部）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 管理层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 + 申报审批 + 报表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tax_accountant 税务会计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开票 / 认证 / 转出 / 申报 / 凭证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 财务会计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发票认证 + 报表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auditor 内审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只读全业务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 报表使用者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只读报表与政策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权限点形如 invoice.write、tax.declare，支持 *（全权）与前后缀匹配；接口级强制校验，越权返回 403。</w:t>
      </w:r>
    </w:p>
    <w:p>
      <w:pPr>
        <w:pStyle w:val="Heading2"/>
      </w:pPr>
      <w:r>
        <w:t>5.3 审计</w:t>
      </w:r>
    </w:p>
    <w:p>
      <w:r>
        <w:rPr>
          <w:rFonts w:ascii="Times New Roman" w:hAnsi="Times New Roman" w:eastAsia="宋体"/>
          <w:b w:val="0"/>
          <w:i w:val="0"/>
          <w:sz w:val="21"/>
        </w:rPr>
        <w:t>登录、开票、认证、申报、缴款、参数修改、密钥创建等全部动作落 logs 表（操作人 / 动作 / 对象 / 详情 / IP）。</w:t>
      </w:r>
    </w:p>
    <w:p>
      <w:pPr>
        <w:pStyle w:val="Heading1"/>
      </w:pPr>
      <w:r>
        <w:t>6. 对外集成（预留）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协议：REST + JSON，OpenAPI 3.0 描述文档（GET /api/apidoc 可直接导入 Postman / Apifox）；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对接通道：API Key 鉴权（read / write / full 三档作用域）；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/api/sync/version 取各实体当前版本号，GET /api/sync?version=invoices:35&amp;entities=invoices,declarations 只拉取变化数据；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幂等：写接口携带 Idempotency-Key 头，重复请求返回首次结果；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导出：发票 / 申报 CSV（UTF-8 BOM，Excel 直开不乱码）。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典型对接场景：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链路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ERP 采购发票自动入池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ERP → POST /api/invoices/save（Idempotency-Key=ERP 单号）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财务系统取申报数据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 → GET /api/sync?entities=declarations 定时拉增量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资金系统获取待缴清单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资金 → GET /api/declarations?status=已申报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集团报表合并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BI → GET /api/reports/summary（一次取四块）</w:t>
            </w:r>
          </w:p>
        </w:tc>
      </w:tr>
    </w:tbl>
    <w:p>
      <w:pPr>
        <w:spacing w:after="0"/>
      </w:pPr>
    </w:p>
    <w:p>
      <w:pPr>
        <w:pStyle w:val="Heading1"/>
      </w:pPr>
      <w:r>
        <w:t>7. 实施里程碑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税计算内核 + 数据层 + 种子数据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tax.py / db.py / seed.py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二期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服务层 54 路由 + 鉴权 + 幂等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server.py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 11 页 SPA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frontend/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测试三道门禁（pytest 70 + e2e 53 + UI 巡检 11）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tests/ + tools/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文档 + 离线 DEMO + 知识库归档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docs/ + demo/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六期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部署上线 + GitHub 推送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systemd + nginx /tax/</w:t>
            </w:r>
          </w:p>
        </w:tc>
      </w:tr>
    </w:tbl>
    <w:p>
      <w:pPr>
        <w:spacing w:after="0"/>
      </w:pPr>
    </w:p>
    <w:p>
      <w:pPr>
        <w:pStyle w:val="Heading1"/>
      </w:pPr>
      <w:r>
        <w:t>8. 部署形态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端口：8024（与 OA 8023、APS 8022 等并存）；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反向代理：nginx location /tax/ → 127.0.0.1:8024；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进程守护：systemd 单元 feishui-tax.service，异常自动重启；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数据备份：SQLite 单文件 data/feishui.db（WAL 模式），可直接 cron 复制；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环境变量：TAX_PORT（端口）、TAX_DB（库路径）、TAX_PREFIX（子路径部署）。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