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洋 海 洋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船舶航次 · 订舱箱货 · 提单运价 · 账单结算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飞洋海洋运输管理系统建设项目（FeiYang OTMS）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飞洋航运 · 海运数字化项目组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1. 系统定位</w:t>
      </w:r>
    </w:p>
    <w:p>
      <w:r>
        <w:rPr>
          <w:rFonts w:ascii="Times New Roman" w:hAnsi="Times New Roman" w:eastAsia="宋体"/>
          <w:b w:val="0"/>
          <w:i w:val="0"/>
          <w:sz w:val="21"/>
        </w:rPr>
        <w:t>面向中小航运/货代企业的海洋运输管理系统（Ocean Transport Management System），覆盖</w:t>
      </w:r>
    </w:p>
    <w:p>
      <w:r>
        <w:rPr>
          <w:rFonts w:ascii="Times New Roman" w:hAnsi="Times New Roman" w:eastAsia="宋体"/>
          <w:b w:val="0"/>
          <w:i w:val="0"/>
          <w:sz w:val="21"/>
        </w:rPr>
        <w:t>港口档案 → 船舶管理 → 航次调度 → 订舱 → 提单 → 集装箱箱货跟踪 → 运价管理 → 应收应付 → 风险预警</w:t>
      </w:r>
    </w:p>
    <w:p>
      <w:r>
        <w:rPr>
          <w:rFonts w:ascii="Times New Roman" w:hAnsi="Times New Roman" w:eastAsia="宋体"/>
          <w:b w:val="0"/>
          <w:i w:val="0"/>
          <w:sz w:val="21"/>
        </w:rPr>
        <w:t>的完整业务闭环。零依赖架构（Python 标准库 + SQLite WAL + 原生 JS SPA），单进程可运行，</w:t>
      </w:r>
    </w:p>
    <w:p>
      <w:r>
        <w:rPr>
          <w:rFonts w:ascii="Times New Roman" w:hAnsi="Times New Roman" w:eastAsia="宋体"/>
          <w:b w:val="0"/>
          <w:i w:val="0"/>
          <w:sz w:val="21"/>
        </w:rPr>
        <w:t>预留 REST API 供 ERP/货代平台/口岸系统对接。</w:t>
      </w:r>
    </w:p>
    <w:p>
      <w:pPr>
        <w:pStyle w:val="Heading1"/>
      </w:pPr>
      <w:r>
        <w:t>2. 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选型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http.server.ThreadingHTTPServer，端口 8031，nginx 前缀 /ocean/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 WAL 模式，30 次锁重试；环境变量 OY_PORT / OY_DB / OY_PREFIX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内核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ocean.py 纯函数业务内核（无 IO 可独立单测）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原生 JS SPA，12 页，海洋蓝主题（#0e7490）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鉴权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 Token / Bearer / X-Token / API Key（fyo_ 前缀）/ 五通道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对接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幂等键（Idempotency-Key）、增量同步（since 版本号）、CSV 导出</w:t>
            </w:r>
          </w:p>
        </w:tc>
      </w:tr>
    </w:tbl>
    <w:p>
      <w:pPr>
        <w:spacing w:after="0"/>
      </w:pPr>
    </w:p>
    <w:p>
      <w:pPr>
        <w:pStyle w:val="Heading1"/>
      </w:pPr>
      <w:r>
        <w:t>3. 业务域</w:t>
      </w:r>
    </w:p>
    <w:p>
      <w:pPr>
        <w:pStyle w:val="Heading2"/>
      </w:pPr>
      <w:r>
        <w:t>3.1 港口档案 ports</w:t>
      </w:r>
    </w:p>
    <w:p>
      <w:r>
        <w:rPr>
          <w:rFonts w:ascii="Times New Roman" w:hAnsi="Times New Roman" w:eastAsia="宋体"/>
          <w:b w:val="0"/>
          <w:i w:val="0"/>
          <w:sz w:val="21"/>
        </w:rPr>
        <w:t>UN/LOCODE 编码（如 CNSHA 上海、SGSIN 新加坡），名称、国家、状态。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被航次/订舱/运价引用后禁止删除。</w:t>
      </w:r>
    </w:p>
    <w:p>
      <w:pPr>
        <w:pStyle w:val="Heading2"/>
      </w:pPr>
      <w:r>
        <w:t>3.2 船舶 vessels</w:t>
      </w:r>
    </w:p>
    <w:p>
      <w:r>
        <w:rPr>
          <w:rFonts w:ascii="Times New Roman" w:hAnsi="Times New Roman" w:eastAsia="宋体"/>
          <w:b w:val="0"/>
          <w:i w:val="0"/>
          <w:sz w:val="21"/>
        </w:rPr>
        <w:t>编码、船名、IMO 号（7 位数字，唯一）、船型（container 集装箱/bulk 散货/tanker 油轮/roro 滚装）、</w:t>
      </w:r>
    </w:p>
    <w:p>
      <w:r>
        <w:rPr>
          <w:rFonts w:ascii="Times New Roman" w:hAnsi="Times New Roman" w:eastAsia="宋体"/>
          <w:b w:val="0"/>
          <w:i w:val="0"/>
          <w:sz w:val="21"/>
        </w:rPr>
        <w:t>载重吨 DWT、箱位 TEU、船旗、状态。航次引用后禁删。</w:t>
      </w:r>
    </w:p>
    <w:p>
      <w:pPr>
        <w:pStyle w:val="Heading2"/>
      </w:pPr>
      <w:r>
        <w:t>3.3 航次 voyages</w:t>
      </w:r>
    </w:p>
    <w:p>
      <w:r>
        <w:rPr>
          <w:rFonts w:ascii="Times New Roman" w:hAnsi="Times New Roman" w:eastAsia="宋体"/>
          <w:b w:val="0"/>
          <w:i w:val="0"/>
          <w:sz w:val="21"/>
        </w:rPr>
        <w:t>航次号（唯一）、船舶、起运港 POL / 目的港 POD、ETD/ETA 计划、ATD/ATA 实际。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状态机 VOYAGE_TRANS：planned → departed → arrived → closed，planned → cancelled。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离港校验：航次必须挂集装箱方可 departed（软校验）；闭环校验：arrived 方可 closed。</w:t>
      </w:r>
    </w:p>
    <w:p>
      <w:pPr>
        <w:pStyle w:val="Heading2"/>
      </w:pPr>
      <w:r>
        <w:t>3.4 订舱 bookings</w:t>
      </w:r>
    </w:p>
    <w:p>
      <w:r>
        <w:rPr>
          <w:rFonts w:ascii="Times New Roman" w:hAnsi="Times New Roman" w:eastAsia="宋体"/>
          <w:b w:val="0"/>
          <w:i w:val="0"/>
          <w:sz w:val="21"/>
        </w:rPr>
        <w:t>订舱号（BK+日期+序号）、航次、托运人（partner）、收货人、POL/POD（默认取航次）、</w:t>
      </w:r>
    </w:p>
    <w:p>
      <w:r>
        <w:rPr>
          <w:rFonts w:ascii="Times New Roman" w:hAnsi="Times New Roman" w:eastAsia="宋体"/>
          <w:b w:val="0"/>
          <w:i w:val="0"/>
          <w:sz w:val="21"/>
        </w:rPr>
        <w:t>货物描述、箱数、箱型。状态机 BOOKING_TRANS：</w:t>
      </w:r>
    </w:p>
    <w:p>
      <w:r>
        <w:rPr>
          <w:rFonts w:ascii="Times New Roman" w:hAnsi="Times New Roman" w:eastAsia="宋体"/>
          <w:b w:val="0"/>
          <w:i w:val="0"/>
          <w:sz w:val="21"/>
        </w:rPr>
        <w:t>booked → loaded → shipped → delivered，booked/loaded 可 cancelled。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订舱属某航次后随航次状态推进。</w:t>
      </w:r>
    </w:p>
    <w:p>
      <w:pPr>
        <w:pStyle w:val="Heading2"/>
      </w:pPr>
      <w:r>
        <w:t>3.5 集装箱 containers</w:t>
      </w:r>
    </w:p>
    <w:p>
      <w:r>
        <w:rPr>
          <w:rFonts w:ascii="Times New Roman" w:hAnsi="Times New Roman" w:eastAsia="宋体"/>
          <w:b w:val="0"/>
          <w:i w:val="0"/>
          <w:sz w:val="21"/>
        </w:rPr>
        <w:t>箱号 ISO 6346（4 字母 + 6 数字 + 校验位，内核做校验位验证）、箱型（20GP/40GP/40HQ/20RF/40RF/45HC）、</w:t>
      </w:r>
    </w:p>
    <w:p>
      <w:r>
        <w:rPr>
          <w:rFonts w:ascii="Times New Roman" w:hAnsi="Times New Roman" w:eastAsia="宋体"/>
          <w:b w:val="0"/>
          <w:i w:val="0"/>
          <w:sz w:val="21"/>
        </w:rPr>
        <w:t>封号、所属航次/订舱。状态机 CONTAINER_TRANS：</w:t>
      </w:r>
    </w:p>
    <w:p>
      <w:r>
        <w:rPr>
          <w:rFonts w:ascii="Times New Roman" w:hAnsi="Times New Roman" w:eastAsia="宋体"/>
          <w:b w:val="0"/>
          <w:i w:val="0"/>
          <w:sz w:val="21"/>
        </w:rPr>
        <w:t>empty → full → in_transit → unloaded → returned（full 可直接 returned 退租）。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滞箱计算：以 unloaded_at 为基准、returned_at 回归，超免箱期产生滞箱费。</w:t>
      </w:r>
    </w:p>
    <w:p>
      <w:pPr>
        <w:pStyle w:val="Heading2"/>
      </w:pPr>
      <w:r>
        <w:t>3.6 提单 bills_of_lading</w:t>
      </w:r>
    </w:p>
    <w:p>
      <w:r>
        <w:rPr>
          <w:rFonts w:ascii="Times New Roman" w:hAnsi="Times New Roman" w:eastAsia="宋体"/>
          <w:b w:val="0"/>
          <w:i w:val="0"/>
          <w:sz w:val="21"/>
        </w:rPr>
        <w:t>提单号（BL+日期+序号）、订舱、托运/收货/通知人、货物、箱数。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状态机 BL_TRANS：draft → issued → surrendered | telex_released。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一订舱可多提单（分单）；订舱取消则提单禁发。</w:t>
      </w:r>
    </w:p>
    <w:p>
      <w:pPr>
        <w:pStyle w:val="Heading2"/>
      </w:pPr>
      <w:r>
        <w:t>3.7 运价 rates</w:t>
      </w:r>
    </w:p>
    <w:p>
      <w:r>
        <w:rPr>
          <w:rFonts w:ascii="Times New Roman" w:hAnsi="Times New Roman" w:eastAsia="宋体"/>
          <w:b w:val="0"/>
          <w:i w:val="0"/>
          <w:sz w:val="21"/>
        </w:rPr>
        <w:t>航线（POL+POD）× 箱型 的基础运价 base_cents + 附加费 surcharge_cents，有效期 valid_from/to。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报价计算 freight_quote：total = (base + surcharge) × TEU 系数 × 箱数；</w:t>
      </w:r>
    </w:p>
    <w:p>
      <w:r>
        <w:rPr>
          <w:rFonts w:ascii="Times New Roman" w:hAnsi="Times New Roman" w:eastAsia="宋体"/>
          <w:b w:val="0"/>
          <w:i w:val="0"/>
          <w:sz w:val="21"/>
        </w:rPr>
        <w:t>引用过期运价时拒绝（rate_valid）。</w:t>
      </w:r>
    </w:p>
    <w:p>
      <w:pPr>
        <w:pStyle w:val="Heading2"/>
      </w:pPr>
      <w:r>
        <w:t>3.8 客户/伙伴 partners</w:t>
      </w:r>
    </w:p>
    <w:p>
      <w:r>
        <w:rPr>
          <w:rFonts w:ascii="Times New Roman" w:hAnsi="Times New Roman" w:eastAsia="宋体"/>
          <w:b w:val="0"/>
          <w:i w:val="0"/>
          <w:sz w:val="21"/>
        </w:rPr>
        <w:t>客户/货代/船代/供应商，信用额度，应收应付累计（沿用飞售/飞融范式）。</w:t>
      </w:r>
    </w:p>
    <w:p>
      <w:pPr>
        <w:pStyle w:val="Heading2"/>
      </w:pPr>
      <w:r>
        <w:t>3.9 应收应付 bills / bill_settlements</w:t>
      </w:r>
    </w:p>
    <w:p>
      <w:r>
        <w:rPr>
          <w:rFonts w:ascii="Times New Roman" w:hAnsi="Times New Roman" w:eastAsia="宋体"/>
          <w:b w:val="0"/>
          <w:i w:val="0"/>
          <w:sz w:val="21"/>
        </w:rPr>
        <w:t>运费账单（AR/AP），部分/全额结算，截断至未结余额，可联动资金账户生成流水。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滞箱费账单 demurrage 类型纳入应收。</w:t>
      </w:r>
    </w:p>
    <w:p>
      <w:pPr>
        <w:pStyle w:val="Heading2"/>
      </w:pPr>
      <w:r>
        <w:t>3.10 风险 risks（四类扫描）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触发条件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分值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demurrage_over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箱已卸货超免箱期 N 天未回归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bill_overdue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应收账单逾期（含账龄 0-30/31-60/61-90/91-180/180+）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voyage_overload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航次装载 TEU 超船舶箱位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rate_expired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 天内到期/已过期且仍被活跃订舱引用的运价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去重：同型同 ref 已 open 不重复建。</w:t>
      </w:r>
    </w:p>
    <w:p>
      <w:pPr>
        <w:pStyle w:val="Heading1"/>
      </w:pPr>
      <w:r>
        <w:t>4. 数据模型（17 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ports, vessels, voyages, bookings, containers, bls, rates, partners, bills,</w:t>
      </w:r>
    </w:p>
    <w:p>
      <w:r>
        <w:rPr>
          <w:rFonts w:ascii="Times New Roman" w:hAnsi="Times New Roman" w:eastAsia="宋体"/>
          <w:b w:val="0"/>
          <w:i w:val="0"/>
          <w:sz w:val="21"/>
        </w:rPr>
        <w:t>bill_settlements, flows(结算联动流水), risks, users, tokens, api_keys, notices,</w:t>
      </w:r>
    </w:p>
    <w:p>
      <w:r>
        <w:rPr>
          <w:rFonts w:ascii="Times New Roman" w:hAnsi="Times New Roman" w:eastAsia="宋体"/>
          <w:b w:val="0"/>
          <w:i w:val="0"/>
          <w:sz w:val="21"/>
        </w:rPr>
        <w:t>logs + idem_keys/sync_state/oy_rules/seq（平台表）。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关键约束：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vessels.imo / containers.container_no 唯一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voyages.no / bookings.no / bls.no 唯一（make_no 序列）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ports/vessels/rates 引用保护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过账式状态推进均 version=version+1 + bump_sync</w:t>
      </w:r>
    </w:p>
    <w:p>
      <w:pPr>
        <w:pStyle w:val="Heading1"/>
      </w:pPr>
      <w:r>
        <w:t>5. 内核 ocean.py 纯函数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函数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money_to_cents / line_amount_cents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金额分转换（HALF_UP）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container_no_valid / container_check_digit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ISO 6346 校验位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teu_of(ctype)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20ft=1.0，40/45ft=2.0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voyage_load_check(loaded_teu, vessel_teu)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超载判定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demurrage_days(unloaded, returned, free_days)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滞箱天数 = max(0, 占用-免箱)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demurrage_fee(days, rate_cents, tiers)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阶梯滞箱费（1-4 天×1，5-8 天×2，9+ 天×4）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freight_quote(base, sur, ctype, boxes)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 = (base+sur)×teu×boxes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rate_valid(today, from, to)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运价有效期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VOYAGE/BOOKING/CONTAINER/BL_TRANS + can_transition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四状态机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aging_bucket / days_overdue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账龄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bill_remaining / settle_amount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结算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ROLE_PERMS / has_perm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sea.* 六角色权限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voyage_stats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看板统计</w:t>
            </w:r>
          </w:p>
        </w:tc>
      </w:tr>
    </w:tbl>
    <w:p>
      <w:pPr>
        <w:spacing w:after="0"/>
      </w:pPr>
    </w:p>
    <w:p>
      <w:pPr>
        <w:pStyle w:val="Heading1"/>
      </w:pPr>
      <w:r>
        <w:t>6. 角色权限（前缀 sea.*）</w:t>
      </w:r>
    </w:p>
    <w:p>
      <w:r>
        <w:rPr>
          <w:rFonts w:ascii="Times New Roman" w:hAnsi="Times New Roman" w:eastAsia="宋体"/>
          <w:b w:val="0"/>
          <w:i w:val="0"/>
          <w:sz w:val="21"/>
        </w:rPr>
        <w:t>admin(*) / ops 操作(sea.voyages.*, sea.bookings.*, sea.containers.*, sea.vessels.*, sea.reports.read)</w:t>
      </w:r>
    </w:p>
    <w:p>
      <w:r>
        <w:rPr>
          <w:rFonts w:ascii="Times New Roman" w:hAnsi="Times New Roman" w:eastAsia="宋体"/>
          <w:b w:val="0"/>
          <w:i w:val="0"/>
          <w:sz w:val="21"/>
        </w:rPr>
        <w:t>/ finance 财务(sea.bills.*, sea.partners.*, sea.rates.read, sea.reports.read)</w:t>
      </w:r>
    </w:p>
    <w:p>
      <w:r>
        <w:rPr>
          <w:rFonts w:ascii="Times New Roman" w:hAnsi="Times New Roman" w:eastAsia="宋体"/>
          <w:b w:val="0"/>
          <w:i w:val="0"/>
          <w:sz w:val="21"/>
        </w:rPr>
        <w:t>/ doc 单证(sea.bls.*, sea.bookings.read, sea.containers.read)</w:t>
      </w:r>
    </w:p>
    <w:p>
      <w:r>
        <w:rPr>
          <w:rFonts w:ascii="Times New Roman" w:hAnsi="Times New Roman" w:eastAsia="宋体"/>
          <w:b w:val="0"/>
          <w:i w:val="0"/>
          <w:sz w:val="21"/>
        </w:rPr>
        <w:t>/ agent 代理(sea.bookings.create + read, sea.bls.read, sea.track.read)</w:t>
      </w:r>
    </w:p>
    <w:p>
      <w:r>
        <w:rPr>
          <w:rFonts w:ascii="Times New Roman" w:hAnsi="Times New Roman" w:eastAsia="宋体"/>
          <w:b w:val="0"/>
          <w:i w:val="0"/>
          <w:sz w:val="21"/>
        </w:rPr>
        <w:t>/ reader 只读。</w:t>
      </w:r>
    </w:p>
    <w:p>
      <w:pPr>
        <w:pStyle w:val="Heading1"/>
      </w:pPr>
      <w:r>
        <w:t>7. 对接能力（留作外部系统）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Key + sea.* 细粒度权限，供 ERP/货代平台调用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Idempotency-Key 幂等写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/api/sync?since=&amp;entities= 增量同步（实体版本号）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/api/export/{entity} CSV（UTF-8 BOM，Excel 直开）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订舱/提单/箱号全链路可被外部跟踪系统拉取（/api/track/{no}）</w:t>
      </w:r>
    </w:p>
    <w:p>
      <w:pPr>
        <w:pStyle w:val="Heading1"/>
      </w:pPr>
      <w:r>
        <w:t>8. 部署</w:t>
      </w:r>
    </w:p>
    <w:p>
      <w:r>
        <w:rPr>
          <w:rFonts w:ascii="Times New Roman" w:hAnsi="Times New Roman" w:eastAsia="宋体"/>
          <w:b w:val="0"/>
          <w:i w:val="0"/>
          <w:sz w:val="21"/>
        </w:rPr>
        <w:t>systemd feiyang-otms（OY_PORT=8031，DB /opt/feiyang-otms/data/feiyang.db），</w:t>
      </w:r>
    </w:p>
    <w:p>
      <w:r>
        <w:rPr>
          <w:rFonts w:ascii="Times New Roman" w:hAnsi="Times New Roman" w:eastAsia="宋体"/>
          <w:b w:val="0"/>
          <w:i w:val="0"/>
          <w:sz w:val="21"/>
        </w:rPr>
        <w:t>nginx location /ocean/，健康检查 /api/health。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