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Times New Roman" w:hAnsi="Times New Roman" w:eastAsia="黑体"/>
          <w:b/>
          <w:i w:val="0"/>
          <w:color w:val="113A33"/>
          <w:sz w:val="68"/>
        </w:rPr>
        <w:t>飞 洋 海 洋 运 输 管 理 系 统</w:t>
      </w:r>
    </w:p>
    <w:p>
      <w:pPr>
        <w:jc w:val="center"/>
      </w:pPr>
      <w:r>
        <w:rPr>
          <w:rFonts w:ascii="Times New Roman" w:hAnsi="Times New Roman" w:eastAsia="黑体"/>
          <w:b/>
          <w:i w:val="0"/>
          <w:color w:val="2B333B"/>
          <w:sz w:val="44"/>
        </w:rPr>
        <w:t>测 试 报 告</w:t>
      </w:r>
    </w:p>
    <w:p>
      <w:pPr>
        <w:jc w:val="center"/>
      </w:pPr>
      <w:r>
        <w:rPr>
          <w:rFonts w:ascii="Times New Roman" w:hAnsi="Times New Roman" w:eastAsia="楷体"/>
          <w:b w:val="0"/>
          <w:i w:val="0"/>
          <w:color w:val="6B7786"/>
          <w:sz w:val="26"/>
        </w:rPr>
        <w:t>—— 四道门禁：pytest 38 + UI 12 + 冒烟 79 + DEMO 12 · 全绿放行 ——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13A33"/>
                <w:sz w:val="21"/>
              </w:rPr>
              <w:t>项目名称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飞洋海洋运输管理系统建设项目（FeiYang OTMS）</w:t>
            </w:r>
          </w:p>
        </w:tc>
      </w:tr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13A33"/>
                <w:sz w:val="21"/>
              </w:rPr>
              <w:t>文档版本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V1.0</w:t>
            </w:r>
          </w:p>
        </w:tc>
      </w:tr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13A33"/>
                <w:sz w:val="21"/>
              </w:rPr>
              <w:t>编制单位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飞洋航运 · 海运数字化项目组</w:t>
            </w:r>
          </w:p>
        </w:tc>
      </w:tr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13A33"/>
                <w:sz w:val="21"/>
              </w:rPr>
              <w:t>编制日期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2026 年 10 月</w:t>
            </w:r>
          </w:p>
        </w:tc>
      </w:tr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13A33"/>
                <w:sz w:val="21"/>
              </w:rPr>
              <w:t>文档密级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内部资料 · 请勿外传</w:t>
            </w:r>
          </w:p>
        </w:tc>
      </w:tr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13A33"/>
                <w:sz w:val="21"/>
              </w:rPr>
              <w:t>文档状态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评审通过 · 放行部署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Times New Roman" w:hAnsi="Times New Roman" w:eastAsia="黑体"/>
          <w:b/>
          <w:i w:val="0"/>
          <w:color w:val="113A33"/>
          <w:sz w:val="32"/>
        </w:rPr>
        <w:t>目  录</w:t>
      </w:r>
    </w:p>
    <w:p>
      <w:r>
        <w:rPr>
          <w:rFonts w:ascii="Times New Roman" w:hAnsi="Times New Roman" w:eastAsia="宋体"/>
          <w:b w:val="0"/>
          <w:i w:val="0"/>
          <w:color w:val="6B7786"/>
          <w:sz w:val="21"/>
        </w:rPr>
        <w:fldChar w:fldCharType="begin"/>
        <w:instrText xml:space="preserve">TOC \o "1-3" \h \z \u</w:instrText>
        <w:fldChar w:fldCharType="separate"/>
        <w:t>（打开文档后按 F9 或右键“更新域”生成目录）</w:t>
        <w:fldChar w:fldCharType="end"/>
      </w:r>
    </w:p>
    <w:p>
      <w:pPr>
        <w:pStyle w:val="Heading1"/>
      </w:pPr>
      <w:r>
        <w:t>一、测试范围与结论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门禁</w:t>
            </w:r>
          </w:p>
        </w:tc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数量</w:t>
            </w:r>
          </w:p>
        </w:tc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结果</w:t>
            </w:r>
          </w:p>
        </w:tc>
      </w:tr>
      <w:tr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单元测试 pytest（内核 ocean.py）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22 例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全部通过</w:t>
            </w:r>
          </w:p>
        </w:tc>
      </w:tr>
      <w:tr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API 集成测试 pytest（server.py）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16 例（38 项断言级）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全部通过</w:t>
            </w:r>
          </w:p>
        </w:tc>
      </w:tr>
      <w:tr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冒烟测试 smoke_api.py 全链路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79 项（连跑 3 次）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全部通过</w:t>
            </w:r>
          </w:p>
        </w:tc>
      </w:tr>
      <w:tr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UI 巡检 Playwright 12 页面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12 页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全部通过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离线 DEMO 页面巡检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12 页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全部通过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宋体"/>
          <w:b w:val="0"/>
          <w:i w:val="0"/>
          <w:sz w:val="21"/>
        </w:rPr>
        <w:t>结论：四道质量门禁全部通过，放行部署。</w:t>
      </w:r>
    </w:p>
    <w:p>
      <w:pPr>
        <w:pStyle w:val="Heading1"/>
      </w:pPr>
      <w:r>
        <w:t>二、内核单元测试（22 例）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金额口径：元转分、行金额 = 单价 × 数量、Decimal HALF_UP 一次量化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ISO 6346 集装箱校验位：字母值从 10 顺序 +1 并跳过 11 的倍数（I/O/Q 由取值规则自然排除），前 10 位加权 2^0..2^9 mod 11；以知名真实箱号 CSQU3054383（有效）与 CSQU3054380（无效）双向验证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TEU 折算：20ft=1.0，40/45ft=2.0；箱量×航次装载校验 voyage_load_check 与 voyage_stats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滞箱费：demurrage_days = max(0, 占用-免箱)（默认免箱 4 天），阶梯费率 (1-4 天 200/天，5-8 天 400/天，9 天起 800/天，单位分)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运价：freight_quote = (基础 + 附加费) × TEU × 箱量；rate_valid 有效期与临期天数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状态机四套：航次 planned→departed→arrived→closed（+取消）、订舱 booked→loaded→shipped→delivered（+取消）、集装箱 empty→full→in_transit→unloaded→returned、提单 draft→issued→surrendered/telex_released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账龄五桶、逾期天数、账单余额与结算截断 settle_amount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权限 ROLE_PERMS：admin/ops/finance/doc/agent/reader，通配符、write 隐含同实体 read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信用超限 over_credit</w:t>
      </w:r>
    </w:p>
    <w:p>
      <w:pPr>
        <w:pStyle w:val="Heading1"/>
      </w:pPr>
      <w:r>
        <w:t>三、API 集成测试（16 例，38 项断言）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认证与 RBAC：六角色正向放行 + 越权 403 双向验证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港口：CRUD、code 正则 ^[A-Z][A-Z0-9]{4}$ 422、重复 409、被航次/运价引用禁删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船舶：IMO 7 位数字格式校验与唯一 409、有航次禁删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航次生命周期：合法迁移链、非法迁移 422、超载禁止离港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订舱：创建含装载预检（超载 422）、状态联动（loaded 联动箱 in_transit、delivered 联动箱 unloaded+时间戳）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集装箱：ISO 6346 校验 422、生命周期迁移、在途禁改封号、滞箱费计算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提单：draft→issued→surrendered/telex_released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运价：报价断言（20GP 双箱 9400000 分）、无有效运价 404、valid_from &gt; valid_to 422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账单与结算：部分结算、全额结算、超额截断、结算生成资金流水并冲减往来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风险扫描：四类风险（滞箱超期/账单逾期/航次超载/运价到期），同型同引用去重、resolve 处理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报表与跟踪：航次汇总、航线统计、按订舱/提单/箱号跟踪时间线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平台域：幂等订舱、增量同步、CSV 导出、用户与 API Key（fyo_ 前缀、权限 403）</w:t>
      </w:r>
    </w:p>
    <w:p>
      <w:pPr>
        <w:pStyle w:val="Heading1"/>
      </w:pPr>
      <w:r>
        <w:t>四、冒烟测试（79 项，连跑 3 次）</w:t>
      </w:r>
    </w:p>
    <w:p>
      <w:r>
        <w:rPr>
          <w:rFonts w:ascii="Times New Roman" w:hAnsi="Times New Roman" w:eastAsia="宋体"/>
          <w:b w:val="0"/>
          <w:i w:val="0"/>
          <w:sz w:val="21"/>
        </w:rPr>
        <w:t>12 段全链路：登录 → 港口 → 船舶 → 航次 → 订舱 → 装箱 → 提单 → 运价 → 账单结算 → 风险 → 报表/跟踪 → 平台域。脚本内置动态生成 ISO 6346 合法箱号与唯一端口/船舶编码，支持连续重复执行。</w:t>
      </w:r>
    </w:p>
    <w:p>
      <w:pPr>
        <w:pStyle w:val="Heading1"/>
      </w:pPr>
      <w:r>
        <w:t>五、UI 巡检与 DEMO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Playwright 登录 + 12 页面（工作台/船舶/航次/订舱/提单/箱货/运价/往来/账单/跟踪/风险/系统）文本非空、0 控制台异常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离线 DEMO 单文件 HTML 快照 12 页面全部渲染正常，支持 6 视角切换</w:t>
      </w:r>
    </w:p>
    <w:p>
      <w:pPr>
        <w:pStyle w:val="Heading1"/>
      </w:pPr>
      <w:r>
        <w:t>六、缺陷清单（已全部修复）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#</w:t>
            </w:r>
          </w:p>
        </w:tc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缺陷</w:t>
            </w:r>
          </w:p>
        </w:tc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修复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ISO 6346 字母取值误按"跳过 I/O/Q"实现，CSQU3054383 判无效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改为从 10 顺序 +1、跳过 11 的倍数</w:t>
            </w:r>
          </w:p>
        </w:tc>
      </w:tr>
      <w:tr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2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工作台 SQL 引用不存在列导致 500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移除占位坏 SQL，逐航次累加滞箱费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3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跟踪页按订舱号查询缺 bk 分支返回空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h_track 重写，补订舱/航次/箱/提单五类事件</w:t>
            </w:r>
          </w:p>
        </w:tc>
      </w:tr>
      <w:tr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4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has_perm write 不隐含同实体 read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权限判定补隐含规则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5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账单创建引用缺失的 over_credit 500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内核补函数</w:t>
            </w:r>
          </w:p>
        </w:tc>
      </w:tr>
      <w:tr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6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港口 code 正则过严拒绝字母开头的 5 位混合码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改 ^[A-Z][A-Z0-9]{4}$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7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测试夹具 jreq 返回值解包不一致（15 fail）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统一返回 (status, parsed) 元组</w:t>
            </w:r>
          </w:p>
        </w:tc>
      </w:tr>
      <w:tr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8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/api/flows 路由缺失 404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补 handler 与路由表项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headerReference w:type="default" r:id="rId10"/>
      <w:pgSz w:w="11906" w:h="16838"/>
      <w:pgMar w:top="1304" w:right="1474" w:bottom="1304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i w:val="0"/>
        <w:color w:val="6B7786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1" w:color="C9D2DB"/>
      </w:pBdr>
    </w:pPr>
    <w:r>
      <w:rPr>
        <w:rFonts w:ascii="Times New Roman" w:hAnsi="Times New Roman" w:eastAsia="楷体"/>
        <w:b w:val="0"/>
        <w:i w:val="0"/>
        <w:color w:val="6B7786"/>
        <w:sz w:val="17"/>
      </w:rPr>
      <w:t>飞运运输管理系统 · 项目文档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60"/>
    </w:pPr>
    <w:rPr>
      <w:rFonts w:ascii="Times New Roman" w:hAnsi="Times New Roman" w:eastAsia="宋体"/>
      <w:color w:val="2B33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400" w:after="200" w:line="300" w:lineRule="auto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113A3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 w:line="300" w:lineRule="auto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113A33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300" w:lineRule="auto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1E6E5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