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洋 海 洋 运 输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项 目 说 明 与 使 用 手 册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六账号 · 十二页面 · 船期订舱箱货提单运价结算跟踪全流程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飞洋海洋运输管理系统建设项目（FeiYang OTMS）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飞洋航运 · 海运数字化项目组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交付使用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pPr>
        <w:pStyle w:val="Heading1"/>
      </w:pPr>
      <w:r>
        <w:t>一、系统定位</w:t>
      </w:r>
    </w:p>
    <w:p>
      <w:r>
        <w:rPr>
          <w:rFonts w:ascii="Times New Roman" w:hAnsi="Times New Roman" w:eastAsia="宋体"/>
          <w:b w:val="0"/>
          <w:i w:val="0"/>
          <w:sz w:val="21"/>
        </w:rPr>
        <w:t>飞洋海洋运输管理系统（FeiYang OTMS）面向中小型海运货代与航运企业，覆盖港口/船舶/航次/订舱/集装箱/提单/运价/往来账单全业务链，内置 ISO 6346 箱号校验、航次装载预检、滞箱费阶梯计费、四类风险预警，并预留 REST 接口供 ERP/单一窗口等外部系统对接。零依赖技术栈（Python 标准库 + SQLite WAL），单机即可运行。</w:t>
      </w:r>
    </w:p>
    <w:p>
      <w:pPr>
        <w:pStyle w:val="Heading1"/>
      </w:pPr>
      <w:r>
        <w:t>二、账号表（初始密码均为 123456）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账号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姓名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主要权限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系统管理员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 + 用户/密钥/参数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zhangk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张开通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ops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船舶/航次/订舱/箱货操作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liq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李钱丰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finance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账单/结算/流水/报表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wangw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王文单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doc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提单/订舱/箱货单证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zhaoa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赵代理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agent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订舱/跟踪/查询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reader01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沈/read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只读</w:t>
            </w:r>
          </w:p>
        </w:tc>
      </w:tr>
    </w:tbl>
    <w:p>
      <w:pPr>
        <w:spacing w:after="0"/>
      </w:pPr>
    </w:p>
    <w:p>
      <w:pPr>
        <w:pStyle w:val="Heading1"/>
      </w:pPr>
      <w:r>
        <w:t>三、12 页面逐页说明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工作台：9 项 KPI（航次/订舱/在途箱/应收/逾期/滞箱费预估等）+ 待办与公告。</w:t>
      </w:r>
    </w:p>
    <w:p>
      <w:r>
        <w:rPr>
          <w:rFonts w:ascii="Times New Roman" w:hAnsi="Times New Roman" w:eastAsia="宋体"/>
          <w:b w:val="0"/>
          <w:i w:val="0"/>
          <w:sz w:val="21"/>
        </w:rPr>
        <w:t>2. 船舶管理：船舶档案（名称、IMO 7 位唯一、载重、箱位 TEU），增删改查。</w:t>
      </w:r>
    </w:p>
    <w:p>
      <w:r>
        <w:rPr>
          <w:rFonts w:ascii="Times New Roman" w:hAnsi="Times New Roman" w:eastAsia="宋体"/>
          <w:b w:val="0"/>
          <w:i w:val="0"/>
          <w:sz w:val="21"/>
        </w:rPr>
        <w:t>3. 航次管理：航次计划与四态推进（计划→离港→到港→闭环，可取消）；超载禁止离港；关联订舱列表。</w:t>
      </w:r>
    </w:p>
    <w:p>
      <w:r>
        <w:rPr>
          <w:rFonts w:ascii="Times New Roman" w:hAnsi="Times New Roman" w:eastAsia="宋体"/>
          <w:b w:val="0"/>
          <w:i w:val="0"/>
          <w:sz w:val="21"/>
        </w:rPr>
        <w:t>4. 订舱管理：创建订舱（选航次/客户/箱型/箱量）自动装载预检，超载 422；状态推进 装船→开船→交付，联动箱货。</w:t>
      </w:r>
    </w:p>
    <w:p>
      <w:r>
        <w:rPr>
          <w:rFonts w:ascii="Times New Roman" w:hAnsi="Times New Roman" w:eastAsia="宋体"/>
          <w:b w:val="0"/>
          <w:i w:val="0"/>
          <w:sz w:val="21"/>
        </w:rPr>
        <w:t>5. 提单管理：草稿→签发→交单/电放；按订舱生成，登记通知方。</w:t>
      </w:r>
    </w:p>
    <w:p>
      <w:r>
        <w:rPr>
          <w:rFonts w:ascii="Times New Roman" w:hAnsi="Times New Roman" w:eastAsia="宋体"/>
          <w:b w:val="0"/>
          <w:i w:val="0"/>
          <w:sz w:val="21"/>
        </w:rPr>
        <w:t>6. 箱货管理：集装箱全生命周期（空箱→装货→在途→卸货→返空），ISO 6346 校验位强校验，在途禁改封号，滞箱费列实时估算。</w:t>
      </w:r>
    </w:p>
    <w:p>
      <w:r>
        <w:rPr>
          <w:rFonts w:ascii="Times New Roman" w:hAnsi="Times New Roman" w:eastAsia="宋体"/>
          <w:b w:val="0"/>
          <w:i w:val="0"/>
          <w:sz w:val="21"/>
        </w:rPr>
        <w:t>7. 运价管理：港口对×箱型运价维护与有效期；运价查询弹窗按 (起运港， 目的港， 箱型， 箱量) 试算整箱报价。</w:t>
      </w:r>
    </w:p>
    <w:p>
      <w:r>
        <w:rPr>
          <w:rFonts w:ascii="Times New Roman" w:hAnsi="Times New Roman" w:eastAsia="宋体"/>
          <w:b w:val="0"/>
          <w:i w:val="0"/>
          <w:sz w:val="21"/>
        </w:rPr>
        <w:t>8. 往来单位：客户/船公司/代理档案及其账单视图。</w:t>
      </w:r>
    </w:p>
    <w:p>
      <w:r>
        <w:rPr>
          <w:rFonts w:ascii="Times New Roman" w:hAnsi="Times New Roman" w:eastAsia="宋体"/>
          <w:b w:val="0"/>
          <w:i w:val="0"/>
          <w:sz w:val="21"/>
        </w:rPr>
        <w:t>9. 账单结算：应收应付账单、部分/全额/超额截断结算，自动生成资金流水；逾期筛选。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10. 货物跟踪：输入订舱号、提单号或集装箱箱号，查询全链路时间线（订舱→装船→开船→到港→卸货→交付）。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11. 风险预警：四类风险（滞箱超期/账单逾期/航次超载/运价到期）一键扫描，去重后处理闭环。</w:t>
      </w:r>
    </w:p>
    <w:p>
      <w:r>
        <w:rPr>
          <w:rFonts w:ascii="Times New Roman" w:hAnsi="Times New Roman" w:eastAsia="宋体"/>
          <w:b w:val="0"/>
          <w:i w:val="0"/>
          <w:sz w:val="21"/>
        </w:rPr>
        <w:t>12. 系统管理：用户与角色、API Key 生成（fyo_ 前缀）、业务参数（免箱天数/滞箱费率）、日志与增量同步。</w:t>
      </w:r>
    </w:p>
    <w:p>
      <w:pPr>
        <w:pStyle w:val="Heading1"/>
      </w:pPr>
      <w:r>
        <w:t>四、典型流程</w:t>
      </w:r>
    </w:p>
    <w:p>
      <w:r>
        <w:rPr>
          <w:rFonts w:ascii="Times New Roman" w:hAnsi="Times New Roman" w:eastAsia="宋体"/>
          <w:b w:val="0"/>
          <w:i w:val="0"/>
          <w:sz w:val="21"/>
        </w:rPr>
        <w:t>新订舱出货：船舶管理确认船期 → 航次管理新建航次 → 订舱管理创建订舱（装载预检）→ 箱货管理录入集装箱 → 订舱"装船"联动箱在途 → 航次"离港" → 订舱"交付"联动箱卸货 → 提单签发。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应收结算：账单管理新建应收 → 客户付款 → 账单结算（部分或全额，超额自动截断）→ 流水自动生成 → 风险页逾期自动消除。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外部对接：系统管理生成 API Key（如 fyo_…）→ 外部系统以 X-Api-Key 调用 REST 接口（创建订舱、查询跟踪等）；支持 Idempotency-Key 幂等与增量同步协议。</w:t>
      </w:r>
    </w:p>
    <w:p>
      <w:pPr>
        <w:pStyle w:val="Heading1"/>
      </w:pPr>
      <w:r>
        <w:t>五、口径说明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所有金额以分（整数）存储，显示层再除以 100，避免浮点误差。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TEU 折算：20ft=1.0，40/45ft=2.0；装载预检按订舱箱量×折算累计与船舶箱位比较。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滞箱费：占用天数 − 免箱天数（默认 4），按阶梯 (1-4 天 200 元/天，5-8 天 400 元/天，9 天起 800 元/天) 计费。</w:t>
      </w:r>
    </w:p>
    <w:p>
      <w:pPr>
        <w:pStyle w:val="Heading1"/>
      </w:pPr>
      <w:r>
        <w:t>六、部署运维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本地运行：python backend/server.py（env OY_PORT=8031、OY_DB=data/feiyang.db、OY_PREFIX=/ocean）。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线上部署：nginx 前缀 /ocean/ 反代 + systemd 服务 feiyang-otms；首次启动自动建库与种子数据。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备份：SQLite 单文件 data/feiyang.db，直接冷备即可。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