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Times New Roman" w:hAnsi="Times New Roman" w:eastAsia="黑体"/>
          <w:b/>
          <w:i w:val="0"/>
          <w:color w:val="113A33"/>
          <w:sz w:val="68"/>
        </w:rPr>
        <w:t>飞 医 医 疗 管 理 系 统</w:t>
      </w:r>
    </w:p>
    <w:p>
      <w:pPr>
        <w:jc w:val="center"/>
      </w:pPr>
      <w:r>
        <w:rPr>
          <w:rFonts w:ascii="Times New Roman" w:hAnsi="Times New Roman" w:eastAsia="黑体"/>
          <w:b/>
          <w:i w:val="0"/>
          <w:color w:val="2B333B"/>
          <w:sz w:val="44"/>
        </w:rPr>
        <w:t>接 口 契 约</w:t>
      </w:r>
    </w:p>
    <w:p>
      <w:pPr>
        <w:jc w:val="center"/>
      </w:pPr>
      <w:r>
        <w:rPr>
          <w:rFonts w:ascii="Times New Roman" w:hAnsi="Times New Roman" w:eastAsia="楷体"/>
          <w:b w:val="0"/>
          <w:i w:val="0"/>
          <w:color w:val="6B7786"/>
          <w:sz w:val="26"/>
        </w:rPr>
        <w:t>—— 82 REST 路由 · API Key · 幂等 · 增量同步 · 五通道鉴权 ——</w:t>
      </w:r>
    </w:p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2268"/>
            <w:shd w:val="clear" w:color="auto" w:fill="EAF2FB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13A33"/>
                <w:sz w:val="21"/>
              </w:rPr>
              <w:t>项目名称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飞医医疗管理系统建设项目（FeiYi HIS）</w:t>
            </w:r>
          </w:p>
        </w:tc>
      </w:tr>
      <w:tr>
        <w:tc>
          <w:tcPr>
            <w:tcW w:type="dxa" w:w="2268"/>
            <w:shd w:val="clear" w:color="auto" w:fill="EAF2FB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13A33"/>
                <w:sz w:val="21"/>
              </w:rPr>
              <w:t>文档版本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V1.0</w:t>
            </w:r>
          </w:p>
        </w:tc>
      </w:tr>
      <w:tr>
        <w:tc>
          <w:tcPr>
            <w:tcW w:type="dxa" w:w="2268"/>
            <w:shd w:val="clear" w:color="auto" w:fill="EAF2FB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13A33"/>
                <w:sz w:val="21"/>
              </w:rPr>
              <w:t>编制单位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飞医科技 · 医疗数字化项目组</w:t>
            </w:r>
          </w:p>
        </w:tc>
      </w:tr>
      <w:tr>
        <w:tc>
          <w:tcPr>
            <w:tcW w:type="dxa" w:w="2268"/>
            <w:shd w:val="clear" w:color="auto" w:fill="EAF2FB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13A33"/>
                <w:sz w:val="21"/>
              </w:rPr>
              <w:t>编制日期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2026 年 10 月</w:t>
            </w:r>
          </w:p>
        </w:tc>
      </w:tr>
      <w:tr>
        <w:tc>
          <w:tcPr>
            <w:tcW w:type="dxa" w:w="2268"/>
            <w:shd w:val="clear" w:color="auto" w:fill="EAF2FB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13A33"/>
                <w:sz w:val="21"/>
              </w:rPr>
              <w:t>文档密级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对外可提供（对接方）</w:t>
            </w:r>
          </w:p>
        </w:tc>
      </w:tr>
      <w:tr>
        <w:tc>
          <w:tcPr>
            <w:tcW w:type="dxa" w:w="2268"/>
            <w:shd w:val="clear" w:color="auto" w:fill="EAF2FB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13A33"/>
                <w:sz w:val="21"/>
              </w:rPr>
              <w:t>文档状态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放行对接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Times New Roman" w:hAnsi="Times New Roman" w:eastAsia="黑体"/>
          <w:b/>
          <w:i w:val="0"/>
          <w:color w:val="113A33"/>
          <w:sz w:val="32"/>
        </w:rPr>
        <w:t>目  录</w:t>
      </w:r>
    </w:p>
    <w:p>
      <w:r>
        <w:rPr>
          <w:rFonts w:ascii="Times New Roman" w:hAnsi="Times New Roman" w:eastAsia="宋体"/>
          <w:b w:val="0"/>
          <w:i w:val="0"/>
          <w:color w:val="6B7786"/>
          <w:sz w:val="21"/>
        </w:rPr>
        <w:fldChar w:fldCharType="begin"/>
        <w:instrText xml:space="preserve">TOC \o "1-3" \h \z \u</w:instrText>
        <w:fldChar w:fldCharType="separate"/>
        <w:t>（打开文档后按 F9 或右键“更新域”生成目录）</w:t>
        <w:fldChar w:fldCharType="end"/>
      </w:r>
    </w:p>
    <w:p>
      <w:r>
        <w:rPr>
          <w:rFonts w:ascii="Times New Roman" w:hAnsi="Times New Roman" w:eastAsia="宋体"/>
          <w:b w:val="0"/>
          <w:i w:val="0"/>
          <w:sz w:val="21"/>
        </w:rPr>
        <w:t>Base URL：http://&lt;host&gt;/his/api（生产经 nginx，本地直连 8028 端口根路径 /api）</w:t>
      </w:r>
    </w:p>
    <w:p>
      <w:r>
        <w:rPr>
          <w:rFonts w:ascii="Times New Roman" w:hAnsi="Times New Roman" w:eastAsia="宋体"/>
          <w:b w:val="0"/>
          <w:i w:val="0"/>
          <w:sz w:val="21"/>
        </w:rPr>
        <w:t>版本：v1.0</w:t>
      </w:r>
    </w:p>
    <w:p>
      <w:pPr>
        <w:pStyle w:val="Heading1"/>
      </w:pPr>
      <w:r>
        <w:t>1. 通用约定</w:t>
      </w:r>
    </w:p>
    <w:p>
      <w:pPr>
        <w:pStyle w:val="Heading2"/>
      </w:pPr>
      <w:r>
        <w:t>1.1 响应包</w:t>
      </w:r>
    </w:p>
    <w:p>
      <w:r>
        <w:rPr>
          <w:rFonts w:ascii="Times New Roman" w:hAnsi="Times New Roman" w:eastAsia="宋体"/>
          <w:b w:val="0"/>
          <w:i w:val="0"/>
          <w:sz w:val="21"/>
        </w:rPr>
        <w:t>所有接口返回统一 JSON：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　　{"code": 200, "message": "ok", "data": { ... }}</w:t>
      </w:r>
    </w:p>
    <w:p>
      <w:r>
        <w:rPr>
          <w:rFonts w:ascii="Times New Roman" w:hAnsi="Times New Roman" w:eastAsia="宋体"/>
          <w:b w:val="0"/>
          <w:i w:val="0"/>
          <w:sz w:val="21"/>
        </w:rPr>
        <w:t>code 与 HTTP 状态码一致：200 成功、400 参数错、401 未认证、403 无权限、404 不存在、409 冲突、422 业务规则拒绝、423 幂等冲突、500 服务器错误、501 未实现（预留接口）。</w:t>
      </w:r>
    </w:p>
    <w:p>
      <w:pPr>
        <w:pStyle w:val="Heading2"/>
      </w:pPr>
      <w:r>
        <w:t>1.2 列表响应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　　{"code":200,"message":"ok","data":{"items":[...],"total":57,"page":1,"size":20}}</w:t>
      </w:r>
    </w:p>
    <w:p>
      <w:r>
        <w:rPr>
          <w:rFonts w:ascii="Times New Roman" w:hAnsi="Times New Roman" w:eastAsia="宋体"/>
          <w:b w:val="0"/>
          <w:i w:val="0"/>
          <w:sz w:val="21"/>
        </w:rPr>
        <w:t>通用查询参数：page(默认1)、size(默认20, ≤200)、keyword、sort、order、store_id→dept_id 等业务过滤。</w:t>
      </w:r>
    </w:p>
    <w:p>
      <w:pPr>
        <w:pStyle w:val="Heading2"/>
      </w:pPr>
      <w:r>
        <w:t>1.3 鉴权（五通道，任选其一）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通道</w:t>
            </w:r>
          </w:p>
        </w:tc>
        <w:tc>
          <w:tcPr>
            <w:tcW w:type="dxa" w:w="4479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示例</w:t>
            </w:r>
          </w:p>
        </w:tc>
      </w:tr>
      <w:tr>
        <w:tc>
          <w:tcPr>
            <w:tcW w:type="dxa" w:w="447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Bearer</w:t>
            </w:r>
          </w:p>
        </w:tc>
        <w:tc>
          <w:tcPr>
            <w:tcW w:type="dxa" w:w="4479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Authorization: Bearer &lt;token&gt;</w:t>
            </w:r>
          </w:p>
        </w:tc>
      </w:tr>
      <w:tr>
        <w:tc>
          <w:tcPr>
            <w:tcW w:type="dxa" w:w="447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头</w:t>
            </w:r>
          </w:p>
        </w:tc>
        <w:tc>
          <w:tcPr>
            <w:tcW w:type="dxa" w:w="4479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X-Token: &lt;token&gt;</w:t>
            </w:r>
          </w:p>
        </w:tc>
      </w:tr>
      <w:tr>
        <w:tc>
          <w:tcPr>
            <w:tcW w:type="dxa" w:w="447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Cookie</w:t>
            </w:r>
          </w:p>
        </w:tc>
        <w:tc>
          <w:tcPr>
            <w:tcW w:type="dxa" w:w="4479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Cookie: his_token=&lt;token&gt; 或 token=&lt;token&gt;</w:t>
            </w:r>
          </w:p>
        </w:tc>
      </w:tr>
      <w:tr>
        <w:tc>
          <w:tcPr>
            <w:tcW w:type="dxa" w:w="447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查询</w:t>
            </w:r>
          </w:p>
        </w:tc>
        <w:tc>
          <w:tcPr>
            <w:tcW w:type="dxa" w:w="4479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?token=&lt;token&gt;</w:t>
            </w:r>
          </w:p>
        </w:tc>
      </w:tr>
      <w:tr>
        <w:tc>
          <w:tcPr>
            <w:tcW w:type="dxa" w:w="447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ApiKey</w:t>
            </w:r>
          </w:p>
        </w:tc>
        <w:tc>
          <w:tcPr>
            <w:tcW w:type="dxa" w:w="4479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X-Api-Key: &lt;key&gt;（服务器存 SHA-256，默认 perms his.*）</w:t>
            </w:r>
          </w:p>
        </w:tc>
      </w:tr>
    </w:tbl>
    <w:p>
      <w:pPr>
        <w:spacing w:after="0"/>
      </w:pPr>
    </w:p>
    <w:p>
      <w:r>
        <w:rPr>
          <w:rFonts w:ascii="Times New Roman" w:hAnsi="Times New Roman" w:eastAsia="宋体"/>
          <w:b w:val="0"/>
          <w:i w:val="0"/>
          <w:sz w:val="21"/>
        </w:rPr>
        <w:t>Token 登录签发，7 天有效。无凭证访问需鉴权接口返回 401。</w:t>
      </w:r>
    </w:p>
    <w:p>
      <w:pPr>
        <w:pStyle w:val="Heading2"/>
      </w:pPr>
      <w:r>
        <w:t>1.4 幂等</w:t>
      </w:r>
    </w:p>
    <w:p>
      <w:r>
        <w:rPr>
          <w:rFonts w:ascii="Times New Roman" w:hAnsi="Times New Roman" w:eastAsia="宋体"/>
          <w:b w:val="0"/>
          <w:i w:val="0"/>
          <w:sz w:val="21"/>
        </w:rPr>
        <w:t>写接口（POST/PUT/DELETE）支持请求头 Idempotency-Key: &lt;uuid&gt;；同一 key 重复请求返回首次结果（idem_keys 表）。</w:t>
      </w:r>
    </w:p>
    <w:p>
      <w:pPr>
        <w:pStyle w:val="Heading2"/>
      </w:pPr>
      <w:r>
        <w:t>1.5 增量同步（供外部系统对接）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　　GET /api/sync?since=&lt;version&gt;&amp;entities=patients,registrations,prescriptions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　　→ {"code":200,"data":{"version":123,"changes":[{"entity":"patients","op":"upsert","row":{...}}, ...]}}</w:t>
      </w:r>
    </w:p>
    <w:p>
      <w:r>
        <w:rPr>
          <w:rFonts w:ascii="Times New Roman" w:hAnsi="Times New Roman" w:eastAsia="宋体"/>
          <w:b w:val="0"/>
          <w:i w:val="0"/>
          <w:sz w:val="21"/>
        </w:rPr>
        <w:t>since=0 为全量快照；省略 entities 返回全部实体。</w:t>
      </w:r>
    </w:p>
    <w:p>
      <w:pPr>
        <w:pStyle w:val="Heading2"/>
      </w:pPr>
      <w:r>
        <w:t>1.6 导出</w:t>
      </w:r>
    </w:p>
    <w:p>
      <w:r>
        <w:rPr>
          <w:rFonts w:ascii="Times New Roman" w:hAnsi="Times New Roman" w:eastAsia="宋体"/>
          <w:b w:val="0"/>
          <w:i w:val="0"/>
          <w:sz w:val="21"/>
        </w:rPr>
        <w:t>GET /api/export/&lt;entity&gt;?format=csv → text/csv（UTF-8 BOM）。支持 patients/registrations/prescriptions/charges/inventory/transactions。</w:t>
      </w:r>
    </w:p>
    <w:p>
      <w:pPr>
        <w:pStyle w:val="Heading1"/>
      </w:pPr>
      <w:r>
        <w:t>2. 认证与系统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986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方法</w:t>
            </w:r>
          </w:p>
        </w:tc>
        <w:tc>
          <w:tcPr>
            <w:tcW w:type="dxa" w:w="2986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路径</w:t>
            </w:r>
          </w:p>
        </w:tc>
        <w:tc>
          <w:tcPr>
            <w:tcW w:type="dxa" w:w="2986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POST</w:t>
            </w:r>
          </w:p>
        </w:tc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/api/login</w:t>
            </w:r>
          </w:p>
        </w:tc>
        <w:tc>
          <w:tcPr>
            <w:tcW w:type="dxa" w:w="2986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{username,password} → {token,user}</w:t>
            </w:r>
          </w:p>
        </w:tc>
      </w:tr>
      <w:tr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POST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/api/logout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注销当前 token</w:t>
            </w:r>
          </w:p>
        </w:tc>
      </w:tr>
      <w:tr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/api/me</w:t>
            </w:r>
          </w:p>
        </w:tc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当前用户信息+权限</w:t>
            </w:r>
          </w:p>
        </w:tc>
      </w:tr>
      <w:tr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/api/health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健康检查（免鉴权）{"status":"ok"}</w:t>
            </w:r>
          </w:p>
        </w:tc>
      </w:tr>
      <w:tr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/api/notices</w:t>
            </w:r>
          </w:p>
        </w:tc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公告列表</w:t>
            </w:r>
          </w:p>
        </w:tc>
      </w:tr>
      <w:tr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POST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/api/notices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新建公告（admin）</w:t>
            </w:r>
          </w:p>
        </w:tc>
      </w:tr>
      <w:tr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/api/logs</w:t>
            </w:r>
          </w:p>
        </w:tc>
        <w:tc>
          <w:tcPr>
            <w:tcW w:type="dxa" w:w="2986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审计日志（admin）</w:t>
            </w:r>
          </w:p>
        </w:tc>
      </w:tr>
      <w:tr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GET/PUT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/api/rules</w:t>
            </w:r>
          </w:p>
        </w:tc>
        <w:tc>
          <w:tcPr>
            <w:tcW w:type="dxa" w:w="2986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业务参数（医保折扣率等）</w:t>
            </w:r>
          </w:p>
        </w:tc>
      </w:tr>
    </w:tbl>
    <w:p>
      <w:pPr>
        <w:spacing w:after="0"/>
      </w:pPr>
    </w:p>
    <w:p>
      <w:pPr>
        <w:pStyle w:val="Heading1"/>
      </w:pPr>
      <w:r>
        <w:t>3. 基础主数据</w:t>
      </w:r>
    </w:p>
    <w:p>
      <w:pPr>
        <w:pStyle w:val="Heading2"/>
      </w:pPr>
      <w:r>
        <w:t>3.1 科室 /api/departments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GET / 列表；POST / 新建 {name, location, remark}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GET|PUT|DELETE /{id}</w:t>
      </w:r>
    </w:p>
    <w:p>
      <w:pPr>
        <w:pStyle w:val="Heading2"/>
      </w:pPr>
      <w:r>
        <w:t>3.2 医生 /api/doctors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GET /?dept_id=&amp;title=&amp;keyword=；POST / {name, dept_id, title, fee_cents, max_dose_note}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GET|PUT|DELETE /{id}</w:t>
      </w:r>
    </w:p>
    <w:p>
      <w:pPr>
        <w:pStyle w:val="Heading2"/>
      </w:pPr>
      <w:r>
        <w:t>3.3 患者 /api/patients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GET /?keyword=&amp;gender=（按姓名/档案号/手机号模糊）；POST / {name, gender, birth, phone, allergy, insurance_no}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GET|PUT|DELETE /{id}；GET /{id}/visits 就诊史（挂号+病历聚合）</w:t>
      </w:r>
    </w:p>
    <w:p>
      <w:pPr>
        <w:pStyle w:val="Heading2"/>
      </w:pPr>
      <w:r>
        <w:t>3.4 药品 /api/drugs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GET /?keyword=&amp;rx_required=；POST / {name, spec, unit, price_cents, max_dose, rx_required, safe_stock}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GET|PUT|DELETE /{id}</w:t>
      </w:r>
    </w:p>
    <w:p>
      <w:pPr>
        <w:pStyle w:val="Heading2"/>
      </w:pPr>
      <w:r>
        <w:t>3.5 供应商 /api/suppliers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GET /?keyword=；POST / {name, contact, phone, credit_days}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GET|PUT|DELETE /{id}；余额见 payable_cents（来自采购应付流水）</w:t>
      </w:r>
    </w:p>
    <w:p>
      <w:pPr>
        <w:pStyle w:val="Heading1"/>
      </w:pPr>
      <w:r>
        <w:t>4. 排班与挂号</w:t>
      </w:r>
    </w:p>
    <w:p>
      <w:pPr>
        <w:pStyle w:val="Heading2"/>
      </w:pPr>
      <w:r>
        <w:t>4.1 排班 /api/schedules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GET /?doctor_id=&amp;date_from=&amp;date_to=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POST / {doctor_id, sched_date, period(AM|PM), quota} —— 同医生同时段重复返回 422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PUT /{id} 修改（换医生/时段同样做冲突检测）；DELETE /{id}（已有挂号返回 409）</w:t>
      </w:r>
    </w:p>
    <w:p>
      <w:pPr>
        <w:pStyle w:val="Heading2"/>
      </w:pPr>
      <w:r>
        <w:t>4.2 挂号 /api/registrations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GET /?patient_id=&amp;doctor_id=&amp;status=&amp;date=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POST / {patient_id, schedule_id} → 生成 GHyyyymmdd-xxx 号，fee_cents 取医生挂号费，状态 waiting，占用排班余号（无余号 422）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状态流转 POST /{id}/transition {to}：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waiting→called（叫号）、called→in_consult（接诊，需先有病历可后补）、in_consult→done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waiting|called→cancelled（退号，释放余号）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非法流转 422，body 含 allowed: [...]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GET /queue?schedule_id= 候诊队列（waiting/called 按 no 升序）</w:t>
      </w:r>
    </w:p>
    <w:p>
      <w:pPr>
        <w:pStyle w:val="Heading1"/>
      </w:pPr>
      <w:r>
        <w:t>5. 病历与处方</w:t>
      </w:r>
    </w:p>
    <w:p>
      <w:pPr>
        <w:pStyle w:val="Heading2"/>
      </w:pPr>
      <w:r>
        <w:t>5.1 门诊病历 /api/clinic-records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POST / {registration_id, chief_complaint, history, diagnosis, advice} —— 一挂号单一病历，重复返回 409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GET /?patient_id=&amp;doctor_id=；GET|PUT /{id}</w:t>
      </w:r>
    </w:p>
    <w:p>
      <w:pPr>
        <w:pStyle w:val="Heading2"/>
      </w:pPr>
      <w:r>
        <w:t>5.2 处方 /api/prescriptions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POST / {patient_id, doctor_id, registration_id?, items:[{drug_id, dose, frequency, days, qty}]} → CFyyyymmdd-xxx，金额 Decimal 累计 total_cents；剂量超 drugs.max_dose 不阻断但生成 dose_over 风险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状态流转 POST /{id}/transition {to}：draft→submitted（校验库存可满足）、submitted→dispensed（发药扣库存，见药房）、draft|submitted→cancelled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GET /?patient_id=&amp;status=&amp;date_from=；GET /{id}（含 items 明细）</w:t>
      </w:r>
    </w:p>
    <w:p>
      <w:pPr>
        <w:pStyle w:val="Heading1"/>
      </w:pPr>
      <w:r>
        <w:t>6. 收费</w:t>
      </w:r>
    </w:p>
    <w:p>
      <w:pPr>
        <w:pStyle w:val="Heading2"/>
      </w:pPr>
      <w:r>
        <w:t>6.1 收费单 /api/charges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POST / {registration_id?, prescription_ids?:[], pay_method:cash|wechat|alipay|insurance, received_cents} —— 汇总挂号费+处方费，按患者医保类型（insurance_type: employee→0.85 / resident→0.65 / self→1.00）计折，paid_cents = total_cents × rate Decimal HALF_UP 到分；生成收入流水；挂号单需处于 done 或一并流转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GET /?patient_id=&amp;pay_method=&amp;date_from=；GET /{id}（含 charge_items 明细）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POST /{id}/refund 退费 → 负流水，单据状态 refunded</w:t>
      </w:r>
    </w:p>
    <w:p>
      <w:pPr>
        <w:pStyle w:val="Heading2"/>
      </w:pPr>
      <w:r>
        <w:t>6.2 流水 /api/transactions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GET /?type=income|expense|refund&amp;date_from=&amp;date_to=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GET /api/finance/summary?date= → {income_cents, refund_cents, by_method:{...}, charge_count, rx_count}</w:t>
      </w:r>
    </w:p>
    <w:p>
      <w:pPr>
        <w:pStyle w:val="Heading1"/>
      </w:pPr>
      <w:r>
        <w:t>7. 药房与库存</w:t>
      </w:r>
    </w:p>
    <w:p>
      <w:pPr>
        <w:pStyle w:val="Heading2"/>
      </w:pPr>
      <w:r>
        <w:t>7.1 发药</w:t>
      </w:r>
    </w:p>
    <w:p>
      <w:r>
        <w:rPr>
          <w:rFonts w:ascii="Times New Roman" w:hAnsi="Times New Roman" w:eastAsia="宋体"/>
          <w:b w:val="0"/>
          <w:i w:val="0"/>
          <w:sz w:val="21"/>
        </w:rPr>
        <w:t>处方 submitted→dispensed 即发药：按 inventory 批次 效期近先出（FEFO） 扣减；任一药品不足整体失败 422（事务回滚），成功写 pharmacy_logs。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GET /api/pharmacy/logs?date=&amp;drug_id=；GET /api/pharmacy/pending 待发处方列表</w:t>
      </w:r>
    </w:p>
    <w:p>
      <w:pPr>
        <w:pStyle w:val="Heading2"/>
      </w:pPr>
      <w:r>
        <w:t>7.2 药品库存 /api/inventory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GET /?drug_id=&amp;keyword=&amp;near_expiry_days=（默认按效期升序）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只读：入库唯一通道为采购 receive；GET /api/inventory/summary?drug_id= 汇总可用量</w:t>
      </w:r>
    </w:p>
    <w:p>
      <w:pPr>
        <w:pStyle w:val="Heading2"/>
      </w:pPr>
      <w:r>
        <w:t>7.3 采购 /api/purchases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GET /?status=&amp;supplier_id=；POST / {supplier_id, items:[{drug_id, qty, cost_cents, batch_no, expiry}]} → CGyyyymmdd-xxx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状态流转 POST /{id}/transition {to}：draft→submitted、submitted→received（入批次库存 + 应付流水，received_cents = Σ qty×cost_cents 供应商余额累加）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draft→cancelled</w:t>
      </w:r>
    </w:p>
    <w:p>
      <w:pPr>
        <w:pStyle w:val="Heading1"/>
      </w:pPr>
      <w:r>
        <w:t>8. 风险中心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POST /api/risk/scan → 执行五类扫描，返回 {created, by_type:{...}}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GET /api/risk?status=&amp;level=&amp;type=；POST /api/risk/{id}/resolve {note} 关闭风险</w:t>
      </w:r>
    </w:p>
    <w:p>
      <w:pPr>
        <w:pStyle w:val="Heading1"/>
      </w:pPr>
      <w:r>
        <w:t>9. 用户与系统管理（admin）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GET|POST /api/users，PUT|DELETE /api/users/{id}（不改密码字段时忽略；PUT /api/users/{id}/password {password} 改密）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GET|POST /api/api-keys，DELETE /api/api-keys/{id} —— 返回明文仅一次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GET /api/dashboard → 今日挂号/接诊/处方/收费金额、待发药、低库存数、临期数、候诊队列长度</w:t>
      </w:r>
    </w:p>
    <w:p>
      <w:pPr>
        <w:pStyle w:val="ListBullet"/>
        <w:spacing w:line="324" w:lineRule="auto"/>
      </w:pPr>
      <w:r>
        <w:rPr>
          <w:rFonts w:ascii="Times New Roman" w:hAnsi="Times New Roman" w:eastAsia="宋体"/>
          <w:b w:val="0"/>
          <w:i w:val="0"/>
          <w:sz w:val="21"/>
        </w:rPr>
        <w:t>GET /api/sync?since=&amp;entities=（见 1.5）</w:t>
      </w:r>
    </w:p>
    <w:p>
      <w:pPr>
        <w:pStyle w:val="Heading1"/>
      </w:pPr>
      <w:r>
        <w:t>10. 错误码示例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　　// 422 排班冲突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　　{"code":422,"message":"该医生在该时段已有排班","data":{"allowed":[]}}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　　// 422 余号不足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　　{"code":422,"message":"排班余号不足","data":{}}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　　// 422 库存不足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　　{"code":422,"message":"库存不足: 阿莫西林胶囊","data":{"drug":"阿莫西林胶囊","need":10,"have":6}}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　　// 401 / 403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　　{"code":401,"message":"unauthorized","data":{}}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　　{"code":403,"message":"permission denied: his.charges.create","data":{}}</w:t>
      </w:r>
    </w:p>
    <w:p>
      <w:pPr>
        <w:pStyle w:val="Heading1"/>
      </w:pPr>
      <w:r>
        <w:t>11. 角色权限矩阵（默认）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角色</w:t>
            </w:r>
          </w:p>
        </w:tc>
        <w:tc>
          <w:tcPr>
            <w:tcW w:type="dxa" w:w="4479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perms</w:t>
            </w:r>
          </w:p>
        </w:tc>
      </w:tr>
      <w:tr>
        <w:tc>
          <w:tcPr>
            <w:tcW w:type="dxa" w:w="447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admin</w:t>
            </w:r>
          </w:p>
        </w:tc>
        <w:tc>
          <w:tcPr>
            <w:tcW w:type="dxa" w:w="447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*</w:t>
            </w:r>
          </w:p>
        </w:tc>
      </w:tr>
      <w:tr>
        <w:tc>
          <w:tcPr>
            <w:tcW w:type="dxa" w:w="447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doctor</w:t>
            </w:r>
          </w:p>
        </w:tc>
        <w:tc>
          <w:tcPr>
            <w:tcW w:type="dxa" w:w="4479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his.patients.* his.clinic.* his.prescriptions.* his.registrations.read</w:t>
            </w:r>
          </w:p>
        </w:tc>
      </w:tr>
      <w:tr>
        <w:tc>
          <w:tcPr>
            <w:tcW w:type="dxa" w:w="447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nurse</w:t>
            </w:r>
          </w:p>
        </w:tc>
        <w:tc>
          <w:tcPr>
            <w:tcW w:type="dxa" w:w="4479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his.registrations.* his.patients.read his.queue.*</w:t>
            </w:r>
          </w:p>
        </w:tc>
      </w:tr>
      <w:tr>
        <w:tc>
          <w:tcPr>
            <w:tcW w:type="dxa" w:w="447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pharmacist</w:t>
            </w:r>
          </w:p>
        </w:tc>
        <w:tc>
          <w:tcPr>
            <w:tcW w:type="dxa" w:w="4479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his.pharmacy.* his.inventory.read his.prescriptions.read</w:t>
            </w:r>
          </w:p>
        </w:tc>
      </w:tr>
      <w:tr>
        <w:tc>
          <w:tcPr>
            <w:tcW w:type="dxa" w:w="447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cashier</w:t>
            </w:r>
          </w:p>
        </w:tc>
        <w:tc>
          <w:tcPr>
            <w:tcW w:type="dxa" w:w="4479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his.charges.* his.patients.read his.transactions.read</w:t>
            </w:r>
          </w:p>
        </w:tc>
      </w:tr>
      <w:tr>
        <w:tc>
          <w:tcPr>
            <w:tcW w:type="dxa" w:w="447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warehouse</w:t>
            </w:r>
          </w:p>
        </w:tc>
        <w:tc>
          <w:tcPr>
            <w:tcW w:type="dxa" w:w="4479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his.purchases.* his.inventory.* his.suppliers.* his.drugs.read</w:t>
            </w:r>
          </w:p>
        </w:tc>
      </w:tr>
      <w:tr>
        <w:tc>
          <w:tcPr>
            <w:tcW w:type="dxa" w:w="447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reader</w:t>
            </w:r>
          </w:p>
        </w:tc>
        <w:tc>
          <w:tcPr>
            <w:tcW w:type="dxa" w:w="4479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his.*.read（各域只读）</w:t>
            </w:r>
          </w:p>
        </w:tc>
      </w:tr>
    </w:tbl>
    <w:p>
      <w:pPr>
        <w:spacing w:after="0"/>
      </w:pPr>
    </w:p>
    <w:p>
      <w:r>
        <w:rPr>
          <w:rFonts w:ascii="Times New Roman" w:hAnsi="Times New Roman" w:eastAsia="宋体"/>
          <w:b w:val="0"/>
          <w:i w:val="0"/>
          <w:sz w:val="21"/>
        </w:rPr>
        <w:t>写权限包含读权限；* 为超管。</w:t>
      </w:r>
    </w:p>
    <w:sectPr w:rsidR="00FC693F" w:rsidRPr="0006063C" w:rsidSect="00034616">
      <w:footerReference w:type="default" r:id="rId9"/>
      <w:headerReference w:type="default" r:id="rId10"/>
      <w:pgSz w:w="11906" w:h="16838"/>
      <w:pgMar w:top="1304" w:right="1474" w:bottom="1304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i w:val="0"/>
        <w:color w:val="6B7786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1" w:color="C9D2DB"/>
      </w:pBdr>
    </w:pPr>
    <w:r>
      <w:rPr>
        <w:rFonts w:ascii="Times New Roman" w:hAnsi="Times New Roman" w:eastAsia="楷体"/>
        <w:b w:val="0"/>
        <w:i w:val="0"/>
        <w:color w:val="6B7786"/>
        <w:sz w:val="17"/>
      </w:rPr>
      <w:t>飞运运输管理系统 · 项目文档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60"/>
    </w:pPr>
    <w:rPr>
      <w:rFonts w:ascii="Times New Roman" w:hAnsi="Times New Roman" w:eastAsia="宋体"/>
      <w:color w:val="2B33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400" w:after="200" w:line="300" w:lineRule="auto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113A3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 w:line="300" w:lineRule="auto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113A33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300" w:lineRule="auto"/>
      <w:outlineLvl w:val="2"/>
    </w:pPr>
    <w:rPr>
      <w:rFonts w:asciiTheme="majorHAnsi" w:eastAsiaTheme="majorEastAsia" w:hAnsiTheme="majorHAnsi" w:cstheme="majorBidi" w:ascii="Arial" w:hAnsi="Arial" w:eastAsia="黑体"/>
      <w:b/>
      <w:bCs/>
      <w:color w:val="1E6E5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