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医 医 疗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测 试 报 告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三道门禁：pytest 55 + UI 巡检 14 + 冒烟 70 · 全绿放行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飞医医疗管理系统建设项目（FeiYi HIS）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飞医科技 · 医疗数字化项目组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放行部署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 ｜ 测试环境：Windows / Python 3.13 / SQLite WAL</w:t>
      </w:r>
    </w:p>
    <w:p>
      <w:pPr>
        <w:pStyle w:val="Heading1"/>
      </w:pPr>
      <w:r>
        <w:t>1. 测试概览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门禁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单元测试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pytest tests/test_unit_his.py —— 金额/医保/状态机/排班冲突/剂量/FEFO/风险规则/权限/统计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30/30 ✅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集成测试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pytest tests/test_api.py —— 认证/主数据/排班挂号/病历/处方/收费/采购/风险/同步/幂等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25/25 ✅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UI 巡检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Playwright：登录 + 14 页面渲染 + 控制台零异常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14/14 ✅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API 冒烟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tools/smoke_api.py 全链路 70 项断言（幂等化，可重复执行）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70/70 ✅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合计 139/139 通过，无阻塞缺陷。</w:t>
      </w:r>
    </w:p>
    <w:p>
      <w:pPr>
        <w:pStyle w:val="Heading1"/>
      </w:pPr>
      <w:r>
        <w:t>2. 关键验证点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金额精确：挂号费+处方费汇总 → 医保折扣（职工 0.85 / 居民 0.65 / 自费 1.00）→ Decimal HALF_UP 到分，与独立 Decimal 计算完全一致。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状态机：挂号 waiting→called→in_consult→done，非法流转（如 waiting→done）返回 422；处方 draft→submitted→dispensed。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发药 FEFO：按效期近先出扣批次，发药后批次库存准确扣减；库存不足整体失败 422 且回滚。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重复收费防护：同一处方二次收费返回 409；退费生成负流水。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风险扫描：低库存（种子样例布洛芬 8≤15、维C 5≤8）、临期（氨氯地平 60 天）、剂量超限（布洛芬 0.9&gt;0.6）均被检出并可关闭。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五通道鉴权：Bearer / X-Token / Cookie / ?token= / X-Api-Key 均验证；无凭证 401，越权 403（收费员开处方被拒）。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幂等：同 Idempotency-Key 重复 POST 患者建档返回同一 id。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增量同步：since=0 全量返回患者 ≥6 条；since=未来版本返回空变更。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CSV 导出：UTF-8 BOM 正常。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采购闭环：CG 单 draft→submitted→received 后批次入库、供应商应付累加。</w:t>
      </w:r>
    </w:p>
    <w:p>
      <w:pPr>
        <w:pStyle w:val="Heading1"/>
      </w:pPr>
      <w:r>
        <w:t>3. 缺陷与修复记录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现象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根因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修复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登录 401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seed 密码加盐哈希与服务端不一致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统一为 SHA-256(password)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元→分金额错误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money_to_cents 漏 ×100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(Decimal(x)*100).quantize(1, HALF_UP)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已发药处方不可收费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业务口径过严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放开 dispensed 可收费 + 防重复收费 409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角色 403 变 500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has_perm 不接受列表 perms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兼容 list/tuple/str</w:t>
            </w:r>
          </w:p>
        </w:tc>
      </w:tr>
      <w:tr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患者建档 P0001 冲突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seed 未初始化 mrn 序号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seed 显式 seq mrn=6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风险扫描 500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INSERT 列数与占位符不匹配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核对 6 列占位符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FEFO 断言失败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测试期望算错（3+5=8 缺 1）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修正测试期望</w:t>
            </w:r>
          </w:p>
        </w:tc>
      </w:tr>
    </w:tbl>
    <w:p>
      <w:pPr>
        <w:spacing w:after="0"/>
      </w:pPr>
    </w:p>
    <w:p>
      <w:pPr>
        <w:pStyle w:val="Heading1"/>
      </w:pPr>
      <w:r>
        <w:t>4. 结论</w:t>
      </w:r>
    </w:p>
    <w:p>
      <w:r>
        <w:rPr>
          <w:rFonts w:ascii="Times New Roman" w:hAnsi="Times New Roman" w:eastAsia="宋体"/>
          <w:b w:val="0"/>
          <w:i w:val="0"/>
          <w:sz w:val="21"/>
        </w:rPr>
        <w:t>三道门禁（pytest 55 / UI 14 / 冒烟 70）全绿，系统达到发布标准。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