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43D46"/>
          <w:sz w:val="68"/>
        </w:rPr>
        <w:t>飞 鹰 CRM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项目说明与操作手册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八账号 · 十四页面 · 线索到回款 + 服务与集成全流程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飞鹰CRM系统建设项目（Feiying CRM）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飞鹰智能科技 · 企业管理系统项目组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交付使用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43D46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pPr>
        <w:pStyle w:val="Heading1"/>
      </w:pPr>
      <w:r>
        <w:t>一、系统概览</w:t>
      </w:r>
    </w:p>
    <w:p>
      <w:r>
        <w:rPr>
          <w:rFonts w:ascii="Times New Roman" w:hAnsi="Times New Roman" w:eastAsia="宋体"/>
          <w:b w:val="0"/>
          <w:i w:val="0"/>
          <w:sz w:val="21"/>
        </w:rPr>
        <w:t>飞鹰CRM 是「客户与销售全流程」管理系统，覆盖营销获客、客户经营、销售过程、交易与回款、客户服务、分析、系统设置七大板块，共 14 个功能页面、80 个 REST 接口。</w:t>
      </w:r>
    </w:p>
    <w:p>
      <w:r>
        <w:rPr>
          <w:rFonts w:ascii="Times New Roman" w:hAnsi="Times New Roman" w:eastAsia="宋体"/>
          <w:b w:val="0"/>
          <w:i w:val="0"/>
          <w:sz w:val="21"/>
        </w:rPr>
        <w:t>交付形态：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形态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启动方式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云端实例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直接打开 &lt;https://drone-store.app.workbuddy.host/&gt;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免安装体验，演示数据已预置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正式系统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cd backend &amp;&amp; python server.py，浏览器打开 http://127.0.0.1:8018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真实使用，数据落 SQLite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离线 DEMO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双击 demo/飞鹰CRM系统Demo.html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演示与培训，无需服务与网络，写操作只在浏览器内存生效</w:t>
            </w:r>
          </w:p>
        </w:tc>
      </w:tr>
    </w:tbl>
    <w:p>
      <w:pPr>
        <w:spacing w:after="0"/>
      </w:pPr>
    </w:p>
    <w:p>
      <w:pPr>
        <w:pStyle w:val="Heading1"/>
      </w:pPr>
      <w:r>
        <w:t>二、启动与登录</w:t>
      </w:r>
    </w:p>
    <w:p>
      <w:pPr>
        <w:pStyle w:val="Heading2"/>
      </w:pPr>
      <w:r>
        <w:t>1. 启动服务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cd backend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python server.py            # 默认端口 8018，首次启动自动建库并灌入演示数据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可选：换端口 / 换库文件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FEIYING_PORT=8020 FEIYING_DB=../data/crm.db python server.py</w:t>
      </w:r>
    </w:p>
    <w:p>
      <w:r>
        <w:rPr>
          <w:rFonts w:ascii="Times New Roman" w:hAnsi="Times New Roman" w:eastAsia="宋体"/>
          <w:b w:val="0"/>
          <w:i w:val="0"/>
          <w:sz w:val="21"/>
        </w:rPr>
        <w:t>启动后访问 http://127.0.0.1:8018，未登录会自动跳到登录页。</w:t>
      </w:r>
    </w:p>
    <w:p>
      <w:pPr>
        <w:pStyle w:val="Heading2"/>
      </w:pPr>
      <w:r>
        <w:t>2. 演示账号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账号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密码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能做什么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admin123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系统管理员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全部功能，含集成配置与规则阈值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zhangwei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fe@2026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销售总监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业务读写 + 折扣审批 + 财务视角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liuyang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fe@2026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销售经理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自己名下客户/商机/合同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wangfang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fe@2026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销售经理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sunqi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fe@2026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线索专员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线索录入、查重、分配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chenlu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fe@2026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客服工程师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工单受理、解决、关闭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zhaomin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fe@2026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财务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回款登记、账龄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huangli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fe@2026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市场专员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市场活动与 ROI</w:t>
            </w:r>
          </w:p>
        </w:tc>
      </w:tr>
    </w:tbl>
    <w:p>
      <w:pPr>
        <w:spacing w:after="0"/>
      </w:pPr>
    </w:p>
    <w:p>
      <w:pPr>
        <w:pStyle w:val="Heading2"/>
      </w:pPr>
      <w:r>
        <w:t>3. 界面骨架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左侧「功能导航」按七大分组排列 14 个页面；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中间工作区：列表页统一「关键字 + 状态下拉 + chips 计数 + 新建按钮」，点击表格行打开详情弹层；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右侧「侧栏」放当前页的口径说明与结构统计；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底部状态栏：左侧显示操作结果（6 秒内不被页面摘要覆盖），右侧显示操作员、在谈商机、本月签约、期间。</w:t>
      </w:r>
    </w:p>
    <w:p>
      <w:pPr>
        <w:pStyle w:val="Heading1"/>
      </w:pPr>
      <w:r>
        <w:t>三、销售驾驶舱（dashboard）</w:t>
      </w:r>
    </w:p>
    <w:p>
      <w:r>
        <w:rPr>
          <w:rFonts w:ascii="Times New Roman" w:hAnsi="Times New Roman" w:eastAsia="宋体"/>
          <w:b w:val="0"/>
          <w:i w:val="0"/>
          <w:sz w:val="21"/>
        </w:rPr>
        <w:t>进入系统首页，六张 KPI 卡：在谈商机（加权）、本月签约、赢单率、逾期应收、待处理工单、客户/线索数。下方依次是销售漏斗（按金额，右侧带相邻阶段转化率）、近 6 个月签约趋势、待办与预警清单、我的在谈商机；侧栏是本月快照、签约 TOP 客户、待领取线索与当前生效的业务规则。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操作建议：每天先看「待办与预警」——逾期应收、超时工单、延期商机都在这里，点条目可直接跳转对应页面。</w:t>
      </w:r>
    </w:p>
    <w:p>
      <w:pPr>
        <w:pStyle w:val="Heading1"/>
      </w:pPr>
      <w:r>
        <w:t>四、线索池（leads）</w:t>
      </w:r>
    </w:p>
    <w:p>
      <w:pPr>
        <w:pStyle w:val="Heading2"/>
      </w:pPr>
      <w:r>
        <w:t>新建线索</w:t>
      </w:r>
    </w:p>
    <w:p>
      <w:r>
        <w:rPr>
          <w:rFonts w:ascii="Times New Roman" w:hAnsi="Times New Roman" w:eastAsia="宋体"/>
          <w:b w:val="0"/>
          <w:i w:val="0"/>
          <w:sz w:val="21"/>
        </w:rPr>
        <w:t>1. 点「+ 新建线索」，填写公司名称、联系人、手机号（或邮箱）、来源、行业、区域、预算；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手机号或公司名失焦时会自动查重，弹层内会提示「未发现重复 / 疑似重复：xxx（手机号相同）」；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保存后按预算与来源自动分级：预算 ≥50 万 A、≥15 万 B，其余 C；来源「展会 / 老客推荐」上浮一档；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保存时若命中重复，后端返回 409 并列出候选，确认要建可加 force=true（页面已默认允许强制保存，仅提示风险）。</w:t>
      </w:r>
    </w:p>
    <w:p>
      <w:pPr>
        <w:pStyle w:val="Heading2"/>
      </w:pPr>
      <w:r>
        <w:t>线索流转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动作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入口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分配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详情底部「分配」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指定负责人，状态转「跟进中」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领取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详情底部「领取线索」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公海线索归自己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写跟进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详情底部「写跟进」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生成跟进记录，刷新闲置天数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转客户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详情底部「转客户」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生成客户编码并跳转客户 360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标记无效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详情底部「标记无效」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必须填原因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回收公海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详情底部「回收公海」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释放回公海池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规则：超过 pool_days（默认 30 天）未跟进的线索会在回收任务中自动进入公海；公海线索任何销售可领取。</w:t>
      </w:r>
    </w:p>
    <w:p>
      <w:pPr>
        <w:pStyle w:val="Heading1"/>
      </w:pPr>
      <w:r>
        <w:t>五、客户档案与客户 360（customers）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1. 列表展示编码、等级、健康分（含等级标签）、在谈商机、合同额、回款、未结工单、状态、负责人；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顶部可按名称/编码/电话关键字、等级、状态过滤，支持导出 CSV（带 Token 下载）；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点行打开「客户 360」弹层：六项统计 + 六个标签页（联系人 / 商机 / 报价 / 合同 / 工单 / 时间线）；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弹层底部可直接「写跟进」或「建商机」（自动带入客户）。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健康分口径：跟进新鲜度 30 + 累计回款 40（对数缩放、30 万封顶）+ 在谈商机 20（3 个封顶）+ 满意度 10（5 分制），逾期回款每笔扣 8 分（最多 −24）。≥80 优质、≥60 健康、≥40 待经营，其余流失风险。</w:t>
      </w:r>
    </w:p>
    <w:p>
      <w:pPr>
        <w:pStyle w:val="Heading1"/>
      </w:pPr>
      <w:r>
        <w:t>六、商机看板（opportunities）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默认看板视图，按六个阶段分列，卡片显示金额、赢率、加权、负责人与预计结单；可切「列表」视图做全字段浏览；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顶部漏斗条展示各阶段金额与数量；侧栏展示漏斗明细与结单情况（赢单/输单/平均客单）；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点卡片或行打开详情：金额、赢率、预计结单、距结单天数、竞品、决策人、阶段闸口（每个目标阶段缺什么一目了然）、推进阶段按钮组、阶段轨迹与最近跟进。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推进规则：</w:t>
      </w:r>
    </w:p>
    <w:p>
      <w:r>
        <w:rPr>
          <w:rFonts w:ascii="Times New Roman" w:hAnsi="Times New Roman" w:eastAsia="宋体"/>
          <w:b w:val="0"/>
          <w:i w:val="0"/>
          <w:sz w:val="21"/>
        </w:rPr>
        <w:t>1. 只能前进，可跨级；不能回退；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进入「需求确认」须有决策人；「方案报价」须有金额；「商务谈判」须决策人 + 竞品；「赢单」须已签署合同；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推进「商务谈判」时页面会追问竞品与决策人，填完即校验并落库；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「标记输单」必须填原因；赢单只能从「商务谈判」进入；</w:t>
      </w:r>
    </w:p>
    <w:p>
      <w:r>
        <w:rPr>
          <w:rFonts w:ascii="Times New Roman" w:hAnsi="Times New Roman" w:eastAsia="宋体"/>
          <w:b w:val="0"/>
          <w:i w:val="0"/>
          <w:sz w:val="21"/>
        </w:rPr>
        <w:t>5. 结单后锁定，需重新立项。</w:t>
      </w:r>
    </w:p>
    <w:p>
      <w:pPr>
        <w:pStyle w:val="Heading1"/>
      </w:pPr>
      <w:r>
        <w:t>七、跟进记录（activities）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顶部 chips 按方式过滤（电话/拜访/邮件/会议/微信）；列表展示时间、对象、方式、主题、内容、下一步计划；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各详情弹层里的「写跟进」都会写到这里，口径一致。</w:t>
      </w:r>
    </w:p>
    <w:p>
      <w:pPr>
        <w:pStyle w:val="Heading1"/>
      </w:pPr>
      <w:r>
        <w:t>八、报价管理（quotes）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1. 点「+ 新建报价」，选客户、填标题与有效期，添加明细行（选产品自动带标准价，可改成交单价与数量）；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弹层底部实时计算「标准额 / 报价额 / 折扣」，超过审批线（默认 15%）会提示「超审批线，保存后需总监批准」；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保存后状态自动判定：超阈 →「待审批」，否则「草稿」；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待审批单由销售总监或管理员打开后「批准 / 驳回」；驳回须填原因；</w:t>
      </w:r>
    </w:p>
    <w:p>
      <w:r>
        <w:rPr>
          <w:rFonts w:ascii="Times New Roman" w:hAnsi="Times New Roman" w:eastAsia="宋体"/>
          <w:b w:val="0"/>
          <w:i w:val="0"/>
          <w:sz w:val="21"/>
        </w:rPr>
        <w:t>5. 草稿与已批准可「发送给客户」，已发送可标记「客户已接受」。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787"/>
            <w:shd w:val="clear" w:color="auto" w:fill="EAF2FB"/>
          </w:tcPr>
          <w:p>
            <w:pPr>
              <w:spacing w:line="312" w:lineRule="auto"/>
            </w:pPr>
            <w:r>
              <w:rPr>
                <w:rFonts w:ascii="Times New Roman" w:hAnsi="Times New Roman" w:eastAsia="黑体"/>
                <w:b/>
                <w:i w:val="0"/>
                <w:color w:val="1F7A8C"/>
                <w:sz w:val="19"/>
              </w:rPr>
              <w:t>◆ 说明：</w:t>
            </w:r>
            <w:r>
              <w:rPr>
                <w:rFonts w:ascii="Times New Roman" w:hAnsi="Times New Roman" w:eastAsia="宋体"/>
                <w:b w:val="0"/>
                <w:i w:val="0"/>
                <w:color w:val="2B333B"/>
                <w:sz w:val="19"/>
              </w:rPr>
              <w:t>没批准就发送会被拦下：超阈折扣的报价必须先走审批，这是毛利保护的基本盘。</w:t>
            </w:r>
          </w:p>
        </w:tc>
      </w:tr>
    </w:tbl>
    <w:p>
      <w:pPr>
        <w:spacing w:after="0"/>
      </w:pPr>
    </w:p>
    <w:p>
      <w:pPr>
        <w:pStyle w:val="Heading1"/>
      </w:pPr>
      <w:r>
        <w:t>九、合同管理（contracts）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1. 点「+ 新建合同」，选客户、填标题、金额、签署日期、付款条件（3-4-3 / 5-5 / 一次性）、关联商机；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保存即按付款条件生成回款计划（应收日 = 签约日 + 30 天 × 期序，末期兜底尾差），合同状态「待签署」；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打开详情点「签署合同」：状态转「已签署」，计划按实际签署日重排；若关联商机在谈，商机自动推进为「赢单」；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详情内「登记收款」登记回款；管理员/总监可「终止」（须填原因）；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>5. 列表展示回款进度条与逾期金额，侧栏给出合同额、已收、回款率、待签署数。</w:t>
      </w:r>
    </w:p>
    <w:p>
      <w:pPr>
        <w:pStyle w:val="Heading1"/>
      </w:pPr>
      <w:r>
        <w:t>十、回款管理（payments）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四张 KPI：未收合计、逾期未收、本期已收、收款笔数；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「应收账龄」五档：未到期 / 1-30 / 31-60 / 61-90 / 90 天以上；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「回款计划」列表可按「只看逾期」过滤，展示每期应收、已收、未收、状态、逾期天数；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「+ 登记收款」默认按到期日 FIFO 核销（也可在合同详情里指定期次）；全部收齐合同自动转「已完成」；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「收款流水」列出收款单号、合同、客户、金额、日期、方式、经办。</w:t>
      </w:r>
    </w:p>
    <w:p>
      <w:pPr>
        <w:pStyle w:val="Heading1"/>
      </w:pPr>
      <w:r>
        <w:t>十一、服务工单（tickets）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1. 顶部四张 KPI：SLA 超时、待受理、处理中、平均满意度；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「+ 新建工单」选客户、填标题、类别（故障/咨询/投诉/需求）、优先级（P1/P2/P3）、问题描述；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提交后按优先级计算 SLA：P1 4 小时、P2 8 小时、P3 24 小时；响应时限为期的一半（最少 1 小时）；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列表展示 SLA 状态（正常/临期/超时/已完成）与剩余小时数（负数表示已超）；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>5. 详情操作：受理 → 解决（填处理结论）→ 关闭并评价（1-5 分）；随时可「回复」留言；</w:t>
      </w:r>
    </w:p>
    <w:p>
      <w:r>
        <w:rPr>
          <w:rFonts w:ascii="Times New Roman" w:hAnsi="Times New Roman" w:eastAsia="宋体"/>
          <w:b w:val="0"/>
          <w:i w:val="0"/>
          <w:sz w:val="21"/>
        </w:rPr>
        <w:t>6. 侧栏说明 SLA 口径与优先级分布。</w:t>
      </w:r>
    </w:p>
    <w:p>
      <w:pPr>
        <w:pStyle w:val="Heading1"/>
      </w:pPr>
      <w:r>
        <w:t>十二、市场活动（campaigns）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顶部「整体 ROI」等 KPI；列表展示活动编码/名称、类型渠道、起止、预算与投入、线索数与目标、ROI、CPL、预算执行率、线索达成率；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下方柱图对比各活动投入产出；「+ 新建活动」录入名称、类型、渠道、预算、投入、目标线索数。</w:t>
      </w:r>
    </w:p>
    <w:p>
      <w:pPr>
        <w:pStyle w:val="Heading1"/>
      </w:pPr>
      <w:r>
        <w:t>十三、报表分析（reports）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六个标签：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标签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销售漏斗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在谈金额、加权预测、赢单率、平均客单；阶段漏斗与相邻转化；阶段金额柱图；负责人维度漏斗（含赢率预警线）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业绩排行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目标、签约额、达成率进度条、单数、客单价、在谈、加权、回款；签约额对比柱图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来源转化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各来源线索数、转客户数、转化率、赢单数、签约额、平均客单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销售预测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滚动 3 个月（可调）加权/乐观/悲观预测曲线与分月明细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应收账龄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未收合计、逾期、逾期占比；五档账龄分布；逾期 TOP 客户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服务分析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平均满意度、平均解决时长、工单总量；按优先级与类别分布</w:t>
            </w:r>
          </w:p>
        </w:tc>
      </w:tr>
    </w:tbl>
    <w:p>
      <w:pPr>
        <w:spacing w:after="0"/>
      </w:pPr>
    </w:p>
    <w:p>
      <w:pPr>
        <w:pStyle w:val="Heading1"/>
      </w:pPr>
      <w:r>
        <w:t>十四、集成中心（integration）</w:t>
      </w:r>
    </w:p>
    <w:p>
      <w:r>
        <w:rPr>
          <w:rFonts w:ascii="Times New Roman" w:hAnsi="Times New Roman" w:eastAsia="宋体"/>
          <w:b w:val="0"/>
          <w:i w:val="0"/>
          <w:sz w:val="21"/>
        </w:rPr>
        <w:t>仅系统管理员可见（其他角色看到说明页，不影响业务接口权限）。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标签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API Key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新建/吊销对接 Key（只读或读写），明文仅显示一次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Webhook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新建订阅（名称、回调地址、密钥、事件），可测试与删除；列出支持的事件清单与签名算法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投递日志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按状态过滤，查看 http 码与失败原因，手动重发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外部 ID 映射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绑定外部系统主键与本地单号，支持按对象类型与系统过滤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增量同步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展示变更游标与示例，可复制 curl 直接用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页面顶部给出三条通道（REST 拉取 / Webhook 推送 / 增量同步）的 curl 示例，以及 OpenAPI 契约入口。</w:t>
      </w:r>
    </w:p>
    <w:p>
      <w:pPr>
        <w:pStyle w:val="Heading1"/>
      </w:pPr>
      <w:r>
        <w:t>十五、基础设置（settings）与操作日志（logs）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「业务规则」：8 条规则的阈值与启停（查重线、公海天数、折扣审批线、三档 SLA、赢率预警线、预测月数），管理员可直接改数字或勾选启停，改完立即生效并写日志；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「团队与用户」「销售目标」：展示团队、用户角色、期间目标；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「操作日志」：最近 200 条操作留痕（时间、操作员、动作、详情）。</w:t>
      </w:r>
    </w:p>
    <w:p>
      <w:pPr>
        <w:pStyle w:val="Heading1"/>
      </w:pPr>
      <w:r>
        <w:t>十六、常见问题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现象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原因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新建线索提示「疑似重复」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手机号/邮箱命中，或公司名相似度超阈值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打开候选核对；确属新客户可强制保存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商机推进报「需补齐：决策人」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阶段闸口未满足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在详情或推进弹层补录决策人/竞品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报价发送被拦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折扣超审批线且未批准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由总监/管理员先批准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登记收款报「超过合同未收余额」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收款额大于剩余应收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核对金额或先补合同变更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工单显示「超时」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已过 SLA 解决时限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尽快处理并填结论；超时会进预警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页面空白/提示仅管理员可见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该页对当前角色不开放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换管理员账号或联系管理员开通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DEMO 里刷新后数据回退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离线版写操作只在内存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属预期；正式系统会落库</w:t>
            </w:r>
          </w:p>
        </w:tc>
      </w:tr>
    </w:tbl>
    <w:p>
      <w:pPr>
        <w:spacing w:after="0"/>
      </w:pPr>
    </w:p>
    <w:p>
      <w:pPr>
        <w:pStyle w:val="Heading1"/>
      </w:pPr>
      <w:r>
        <w:t>十七、数据与运维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数据库：data/feiying.db（SQLite，WAL）；备份 = 停止服务后拷贝该文件（含 -wal/-shm）；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重置演示数据：删除 data/feiying.db* 后重启，自动重灌确定性数据（SEED=20261020，日历锚点 2026-10-20）；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健康检查：GET /api/health 返回服务状态与关键对象计数，可接监控；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日志：操作日志在系统内查看，Webhook 投递日志在集成中心查看；进程标准输出仅打印异常堆栈。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飞鹰CRM系统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43D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43D4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