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Times New Roman" w:hAnsi="Times New Roman" w:eastAsia="黑体"/>
          <w:b/>
          <w:i w:val="0"/>
          <w:color w:val="143D46"/>
          <w:sz w:val="68"/>
        </w:rPr>
        <w:t>飞 鹰 CRM 系 统</w:t>
      </w:r>
    </w:p>
    <w:p>
      <w:pPr>
        <w:jc w:val="center"/>
      </w:pPr>
      <w:r>
        <w:rPr>
          <w:rFonts w:ascii="Times New Roman" w:hAnsi="Times New Roman" w:eastAsia="黑体"/>
          <w:b/>
          <w:i w:val="0"/>
          <w:color w:val="2B333B"/>
          <w:sz w:val="44"/>
        </w:rPr>
        <w:t>测 试 报 告</w:t>
      </w:r>
    </w:p>
    <w:p>
      <w:pPr>
        <w:jc w:val="center"/>
      </w:pPr>
      <w:r>
        <w:rPr>
          <w:rFonts w:ascii="Times New Roman" w:hAnsi="Times New Roman" w:eastAsia="楷体"/>
          <w:b w:val="0"/>
          <w:i w:val="0"/>
          <w:color w:val="6B7786"/>
          <w:sz w:val="26"/>
        </w:rPr>
        <w:t>—— 三层自动化测试 127 项 · 质量门禁 PASS · 放行部署 ——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43D46"/>
                <w:sz w:val="21"/>
              </w:rPr>
              <w:t>项目名称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飞鹰CRM系统建设项目（Feiying CRM）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43D46"/>
                <w:sz w:val="21"/>
              </w:rPr>
              <w:t>文档版本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V1.0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43D46"/>
                <w:sz w:val="21"/>
              </w:rPr>
              <w:t>编制单位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飞鹰智能科技 · 企业管理系统项目组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43D46"/>
                <w:sz w:val="21"/>
              </w:rPr>
              <w:t>编制日期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2026 年 10 月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43D46"/>
                <w:sz w:val="21"/>
              </w:rPr>
              <w:t>文档密级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内部资料 · 请勿外传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43D46"/>
                <w:sz w:val="21"/>
              </w:rPr>
              <w:t>文档状态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评审通过 · 放行部署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Times New Roman" w:hAnsi="Times New Roman" w:eastAsia="黑体"/>
          <w:b/>
          <w:i w:val="0"/>
          <w:color w:val="143D46"/>
          <w:sz w:val="32"/>
        </w:rPr>
        <w:t>目  录</w:t>
      </w:r>
    </w:p>
    <w:p>
      <w:r>
        <w:rPr>
          <w:rFonts w:ascii="Times New Roman" w:hAnsi="Times New Roman" w:eastAsia="宋体"/>
          <w:b w:val="0"/>
          <w:i w:val="0"/>
          <w:color w:val="6B7786"/>
          <w:sz w:val="21"/>
        </w:rPr>
        <w:fldChar w:fldCharType="begin"/>
        <w:instrText xml:space="preserve">TOC \o "1-3" \h \z \u</w:instrText>
        <w:fldChar w:fldCharType="separate"/>
        <w:t>（打开文档后按 F9 或右键“更新域”生成目录）</w:t>
        <w:fldChar w:fldCharType="end"/>
      </w:r>
    </w:p>
    <w:p>
      <w:pPr>
        <w:pStyle w:val="Heading1"/>
      </w:pPr>
      <w:r>
        <w:t>一、测试结论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项</w:t>
            </w:r>
          </w:p>
        </w:tc>
        <w:tc>
          <w:tcPr>
            <w:tcW w:type="dxa" w:w="447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结果</w:t>
            </w:r>
          </w:p>
        </w:tc>
      </w:tr>
      <w:tr>
        <w:tc>
          <w:tcPr>
            <w:tcW w:type="dxa" w:w="447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用例总数</w:t>
            </w:r>
          </w:p>
        </w:tc>
        <w:tc>
          <w:tcPr>
            <w:tcW w:type="dxa" w:w="447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127 项（单元 53 / 接口 60 / 端到端 14）</w:t>
            </w:r>
          </w:p>
        </w:tc>
      </w:tr>
      <w:tr>
        <w:tc>
          <w:tcPr>
            <w:tcW w:type="dxa" w:w="447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通过 / 失败</w:t>
            </w:r>
          </w:p>
        </w:tc>
        <w:tc>
          <w:tcPr>
            <w:tcW w:type="dxa" w:w="447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127 / 0</w:t>
            </w:r>
          </w:p>
        </w:tc>
      </w:tr>
      <w:tr>
        <w:tc>
          <w:tcPr>
            <w:tcW w:type="dxa" w:w="447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质量门禁</w:t>
            </w:r>
          </w:p>
        </w:tc>
        <w:tc>
          <w:tcPr>
            <w:tcW w:type="dxa" w:w="447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PASS（三层全绿方可部署）</w:t>
            </w:r>
          </w:p>
        </w:tc>
      </w:tr>
      <w:tr>
        <w:tc>
          <w:tcPr>
            <w:tcW w:type="dxa" w:w="447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执行方式</w:t>
            </w:r>
          </w:p>
        </w:tc>
        <w:tc>
          <w:tcPr>
            <w:tcW w:type="dxa" w:w="447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python scripts/run_tests.py，一次跑完三层并产出 junit/JSON/摘要</w:t>
            </w:r>
          </w:p>
        </w:tc>
      </w:tr>
      <w:tr>
        <w:tc>
          <w:tcPr>
            <w:tcW w:type="dxa" w:w="447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总耗时</w:t>
            </w:r>
          </w:p>
        </w:tc>
        <w:tc>
          <w:tcPr>
            <w:tcW w:type="dxa" w:w="447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约 68 秒（单元 2.5s / 接口 21s / 端到端 45s）</w:t>
            </w:r>
          </w:p>
        </w:tc>
      </w:tr>
      <w:tr>
        <w:tc>
          <w:tcPr>
            <w:tcW w:type="dxa" w:w="447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结论</w:t>
            </w:r>
          </w:p>
        </w:tc>
        <w:tc>
          <w:tcPr>
            <w:tcW w:type="dxa" w:w="447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功能与规则口径符合设计，缺陷已闭环，允许部署与对接联调</w:t>
            </w:r>
          </w:p>
        </w:tc>
      </w:tr>
    </w:tbl>
    <w:p>
      <w:pPr>
        <w:spacing w:after="0"/>
      </w:pPr>
    </w:p>
    <w:p>
      <w:pPr>
        <w:pStyle w:val="Heading1"/>
      </w:pPr>
      <w:r>
        <w:t>二、测试环境与方法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项</w:t>
            </w:r>
          </w:p>
        </w:tc>
        <w:tc>
          <w:tcPr>
            <w:tcW w:type="dxa" w:w="447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值</w:t>
            </w:r>
          </w:p>
        </w:tc>
      </w:tr>
      <w:tr>
        <w:tc>
          <w:tcPr>
            <w:tcW w:type="dxa" w:w="447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操作系统</w:t>
            </w:r>
          </w:p>
        </w:tc>
        <w:tc>
          <w:tcPr>
            <w:tcW w:type="dxa" w:w="447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Windows 11（Git Bash）</w:t>
            </w:r>
          </w:p>
        </w:tc>
      </w:tr>
      <w:tr>
        <w:tc>
          <w:tcPr>
            <w:tcW w:type="dxa" w:w="447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运行时</w:t>
            </w:r>
          </w:p>
        </w:tc>
        <w:tc>
          <w:tcPr>
            <w:tcW w:type="dxa" w:w="447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Python 3.13，零第三方依赖（仅测试用 pytest / Playwright）</w:t>
            </w:r>
          </w:p>
        </w:tc>
      </w:tr>
      <w:tr>
        <w:tc>
          <w:tcPr>
            <w:tcW w:type="dxa" w:w="447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浏览器</w:t>
            </w:r>
          </w:p>
        </w:tc>
        <w:tc>
          <w:tcPr>
            <w:tcW w:type="dxa" w:w="447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Microsoft Edge headless（Playwright，回退 Chromium）</w:t>
            </w:r>
          </w:p>
        </w:tc>
      </w:tr>
      <w:tr>
        <w:tc>
          <w:tcPr>
            <w:tcW w:type="dxa" w:w="447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数据库</w:t>
            </w:r>
          </w:p>
        </w:tc>
        <w:tc>
          <w:tcPr>
            <w:tcW w:type="dxa" w:w="447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每套接口/端到端测试独立临时 SQLite（FEIYING_DB 指向临时文件），互不污染</w:t>
            </w:r>
          </w:p>
        </w:tc>
      </w:tr>
      <w:tr>
        <w:tc>
          <w:tcPr>
            <w:tcW w:type="dxa" w:w="447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服务启动</w:t>
            </w:r>
          </w:p>
        </w:tc>
        <w:tc>
          <w:tcPr>
            <w:tcW w:type="dxa" w:w="447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测试内起真实 HTTP 服务（端口 8941/8942），非 mock，验证完整链路</w:t>
            </w:r>
          </w:p>
        </w:tc>
      </w:tr>
      <w:tr>
        <w:tc>
          <w:tcPr>
            <w:tcW w:type="dxa" w:w="447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演示数据</w:t>
            </w:r>
          </w:p>
        </w:tc>
        <w:tc>
          <w:tcPr>
            <w:tcW w:type="dxa" w:w="447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确定性种子 SEED=20261020，日历锚点 2026-10-20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宋体"/>
          <w:b w:val="0"/>
          <w:i w:val="0"/>
          <w:sz w:val="21"/>
        </w:rPr>
        <w:t>三层策略：</w:t>
      </w:r>
    </w:p>
    <w:p>
      <w:r>
        <w:rPr>
          <w:rFonts w:ascii="Times New Roman" w:hAnsi="Times New Roman" w:eastAsia="宋体"/>
          <w:b w:val="0"/>
          <w:i w:val="0"/>
          <w:sz w:val="21"/>
        </w:rPr>
        <w:t>1. 单元层（tests/test_unit_core.py）：只测 backend/crm.py 纯函数，无 IO 无 SQL，毫秒级，覆盖全部口径与边界。</w:t>
      </w:r>
    </w:p>
    <w:p>
      <w:r>
        <w:rPr>
          <w:rFonts w:ascii="Times New Roman" w:hAnsi="Times New Roman" w:eastAsia="宋体"/>
          <w:b w:val="0"/>
          <w:i w:val="0"/>
          <w:sz w:val="21"/>
        </w:rPr>
        <w:t>2. 接口层（tests/test_api.py）：真实服务 + HTTP 客户端，覆盖鉴权、全流程状态机、集成能力；Webhook 用内置 8991 端口接收端真实收包并校验签名。</w:t>
      </w:r>
    </w:p>
    <w:p>
      <w:r>
        <w:rPr>
          <w:rFonts w:ascii="Times New Roman" w:hAnsi="Times New Roman" w:eastAsia="宋体"/>
          <w:b w:val="0"/>
          <w:i w:val="0"/>
          <w:sz w:val="21"/>
        </w:rPr>
        <w:t>3. 端到端层（tests/test_e2e_ui.py）：Playwright 驱动浏览器，按岗位真实操作 14 个页面，断言页面文案、接口响应与后端终态三方一致，并逐用例截图留档（reports/screenshots/，14 张）。</w:t>
      </w:r>
    </w:p>
    <w:p>
      <w:pPr>
        <w:pStyle w:val="Heading1"/>
      </w:pPr>
      <w:r>
        <w:t>三、用例分布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套件</w:t>
            </w:r>
          </w:p>
        </w:tc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数量</w:t>
            </w:r>
          </w:p>
        </w:tc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覆盖内容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单元：业务内核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53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数值舍入、单号生成与解析、阶段状态机（前进/回退/赢单/输单/锁定/未知）、阶段闸口、手机号与公司名归一、查重（手机/邮箱/名称/自身跳过/编号噪声）、分级阈值与来源上浮、客户评分（优质/衰减/逾期惩罚/夹取）、漏斗与相邻转化、预测与跨月、折扣与审批边界、回款计划（分期总额/尾差/等分）、计划状态与逾期天数、账龄分档、SLA 时限与状态与剩余小时、市场 ROI、HMAC 签名与验签、分页、权限矩阵、天数差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接口：全流程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59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健康检查、登录/登出/身份、首屏聚合、线索全生命周期（建单/查重/强制/分配/领取/回收/无效/转客户）、客户与联系人 CRUD、客户 360、商机建单与闸口、阶段不能回退、赢单需合同、输单需原因、阶段轨迹、商机推进时补录闸口字段、报价折扣与审批/驳回/发送/接受、合同建单与计划生成、签署与终止、收款核销与超额拦截、账龄与逾期过滤、工单 SLA 与四类动作、市场活动与 ROI、六类报表、规则启停联动、CSV 导出（含 token 下载）、OpenAPI 契约、API Key 权限隔离、幂等回放、增量同步游标与对象过滤、外部 ID 映射与反查、Webhook 建订阅/投递/签名校验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端到端：UI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14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登录与驾驶舱、14 页遍历（无控制台报错）、线索建单与查重提示与跟进、线索转客户并跳转客户 360、客户建单与 360 六标签、商机看板与闸口推进（跨级）、报价折扣审批与发送接受、合同签署与收款（含计划总额校验）、工单 SLA 全流程、报表六标签、集成中心 Key 与 Webhook、规则启停、非管理员集成锁定、会话失效跳转登录</w:t>
            </w:r>
          </w:p>
        </w:tc>
      </w:tr>
    </w:tbl>
    <w:p>
      <w:pPr>
        <w:spacing w:after="0"/>
      </w:pPr>
    </w:p>
    <w:p>
      <w:pPr>
        <w:pStyle w:val="Heading1"/>
      </w:pPr>
      <w:r>
        <w:t>四、关键验证点</w:t>
      </w:r>
    </w:p>
    <w:p>
      <w:pPr>
        <w:pStyle w:val="Heading2"/>
      </w:pPr>
      <w:r>
        <w:t>1. 商机阶段状态机与闸口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正向：初步接触 → 需求确认（概率 0.1→0.25）→ 方案报价 → 商务谈判 → 赢单（1.0）；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逆向：任何回退请求返回 400「商机阶段不能回退」；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闸口：缺决策人/竞品/金额/合同时逐项拦截，错误信息点名缺失项；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补录：POST /stage 携带 competitor/decisionMaker 时先并入再校验并落库（E2E 发现并修复，见缺陷 D-13）；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结单：赢单后 stageLogs 留痕，再次推进返回 400「已结单」。</w:t>
      </w:r>
    </w:p>
    <w:p>
      <w:pPr>
        <w:pStyle w:val="Heading2"/>
      </w:pPr>
      <w:r>
        <w:t>2. 报价折扣审批</w:t>
      </w:r>
    </w:p>
    <w:p>
      <w:r>
        <w:rPr>
          <w:rFonts w:ascii="Times New Roman" w:hAnsi="Times New Roman" w:eastAsia="宋体"/>
          <w:b w:val="0"/>
          <w:i w:val="0"/>
          <w:sz w:val="21"/>
        </w:rPr>
        <w:t>折扣 37.5% 的报价自动进入「待审批」；未批准时「发送」被拦（400）；批准后 approver/approvedAt 落库、状态转「已批准」，方可发送、再标记「客户已接受」。折扣率与阈值均返回前端展示（discountPct、threshold）。</w:t>
      </w:r>
    </w:p>
    <w:p>
      <w:pPr>
        <w:pStyle w:val="Heading2"/>
      </w:pPr>
      <w:r>
        <w:t>3. 合同与回款</w:t>
      </w:r>
    </w:p>
    <w:p>
      <w:r>
        <w:rPr>
          <w:rFonts w:ascii="Times New Roman" w:hAnsi="Times New Roman" w:eastAsia="宋体"/>
          <w:b w:val="0"/>
          <w:i w:val="0"/>
          <w:sz w:val="21"/>
        </w:rPr>
        <w:t>5-5 条件下两期计划总额精确等于合同额（误差 &lt;0.01）；签署后计划按签署日重排；收款 6 万后 paidAmount=60000、unpaidAmount=60000、收款单号 SK...；超额收款被拦截并提示剩余余额。</w:t>
      </w:r>
    </w:p>
    <w:p>
      <w:pPr>
        <w:pStyle w:val="Heading2"/>
      </w:pPr>
      <w:r>
        <w:t>4. 工单 SLA</w:t>
      </w:r>
    </w:p>
    <w:p>
      <w:r>
        <w:rPr>
          <w:rFonts w:ascii="Times New Roman" w:hAnsi="Times New Roman" w:eastAsia="宋体"/>
          <w:b w:val="0"/>
          <w:i w:val="0"/>
          <w:sz w:val="21"/>
        </w:rPr>
        <w:t>P1 建单即算出 4 小时解决时限与 2 小时响应时限；受理 → 解决（必填结论）→ 关闭（满意度 1-5）后 slaState 转「已完成」，ticket_logs 全链路留痕。</w:t>
      </w:r>
    </w:p>
    <w:p>
      <w:pPr>
        <w:pStyle w:val="Heading2"/>
      </w:pPr>
      <w:r>
        <w:t>5. 集成能力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API Key：read 范围 Key 不能写（403）；吊销即时生效；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幂等：同 Idempotency-Key 二次提交回放首次响应且带 X-Idempotent-Replay: true，不产生第二张单；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增量同步：since 游标单调，object=lead 过滤生效，新建线索必现于变更流；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Webhook：真实接收端收到推送，头部 X-FYC-Event / X-FYC-Timestamp / X-FYC-Signature 齐备，HMAC-SHA256(timestamp + "." + body) 校验通过；失败按 30/60/120 秒重试，3 次后标记「失败」。</w:t>
      </w:r>
    </w:p>
    <w:p>
      <w:pPr>
        <w:pStyle w:val="Heading2"/>
      </w:pPr>
      <w:r>
        <w:t>6. 权限与数据范围</w:t>
      </w:r>
    </w:p>
    <w:p>
      <w:r>
        <w:rPr>
          <w:rFonts w:ascii="Times New Roman" w:hAnsi="Times New Roman" w:eastAsia="宋体"/>
          <w:b w:val="0"/>
          <w:i w:val="0"/>
          <w:sz w:val="21"/>
        </w:rPr>
        <w:t>销售只读自己名下数据；非管理员调 /api/integration/overview 返回 403 且页面给出说明而非白屏；管理员可改规则阈值并立即影响新建单据校验。</w:t>
      </w:r>
    </w:p>
    <w:p>
      <w:pPr>
        <w:pStyle w:val="Heading1"/>
      </w:pPr>
      <w:r>
        <w:t>五、缺陷台账</w:t>
      </w:r>
    </w:p>
    <w:p>
      <w:r>
        <w:rPr>
          <w:rFonts w:ascii="Times New Roman" w:hAnsi="Times New Roman" w:eastAsia="宋体"/>
          <w:b w:val="0"/>
          <w:i w:val="0"/>
          <w:sz w:val="21"/>
        </w:rPr>
        <w:t>本轮共发现并修复 16 项缺陷，均在测试中复现、修复后回归通过。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编号</w:t>
            </w:r>
          </w:p>
        </w:tc>
        <w:tc>
          <w:tcPr>
            <w:tcW w:type="dxa" w:w="1792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现象</w:t>
            </w:r>
          </w:p>
        </w:tc>
        <w:tc>
          <w:tcPr>
            <w:tcW w:type="dxa" w:w="1792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根因</w:t>
            </w:r>
          </w:p>
        </w:tc>
        <w:tc>
          <w:tcPr>
            <w:tcW w:type="dxa" w:w="1792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修复</w:t>
            </w:r>
          </w:p>
        </w:tc>
        <w:tc>
          <w:tcPr>
            <w:tcW w:type="dxa" w:w="1792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验证用例</w:t>
            </w:r>
          </w:p>
        </w:tc>
      </w:tr>
      <w:tr>
        <w:tc>
          <w:tcPr>
            <w:tcW w:type="dxa" w:w="179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D-01</w:t>
            </w:r>
          </w:p>
        </w:tc>
        <w:tc>
          <w:tcPr>
            <w:tcW w:type="dxa" w:w="1792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POST /api/leads 返回 500 UNIQUE constraint failed: leads.no，级联 24 项红灯</w:t>
            </w:r>
          </w:p>
        </w:tc>
        <w:tc>
          <w:tcPr>
            <w:tcW w:type="dxa" w:w="1792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next_no 用 doc_no(...)[:10] 截前缀，丢掉分隔符，int("-0031") 为负导致流水号重复</w:t>
            </w:r>
          </w:p>
        </w:tc>
        <w:tc>
          <w:tcPr>
            <w:tcW w:type="dxa" w:w="1792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前缀改为 rsplit("-",1)[0] + "-"，尾段只取数字</w:t>
            </w:r>
          </w:p>
        </w:tc>
        <w:tc>
          <w:tcPr>
            <w:tcW w:type="dxa" w:w="1792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接口全套 + 单元单号用例</w:t>
            </w:r>
          </w:p>
        </w:tc>
      </w:tr>
      <w:tr>
        <w:tc>
          <w:tcPr>
            <w:tcW w:type="dxa" w:w="1792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D-02</w:t>
            </w:r>
          </w:p>
        </w:tc>
        <w:tc>
          <w:tcPr>
            <w:tcW w:type="dxa" w:w="1792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/api/bootstrap、/api/settings 500 no such column: id</w:t>
            </w:r>
          </w:p>
        </w:tc>
        <w:tc>
          <w:tcPr>
            <w:tcW w:type="dxa" w:w="1792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rules 表主键是 code，SQL 却 ORDER BY id</w:t>
            </w:r>
          </w:p>
        </w:tc>
        <w:tc>
          <w:tcPr>
            <w:tcW w:type="dxa" w:w="1792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改 ORDER BY rowid</w:t>
            </w:r>
          </w:p>
        </w:tc>
        <w:tc>
          <w:tcPr>
            <w:tcW w:type="dxa" w:w="1792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test_bootstrap_*</w:t>
            </w:r>
          </w:p>
        </w:tc>
      </w:tr>
      <w:tr>
        <w:tc>
          <w:tcPr>
            <w:tcW w:type="dxa" w:w="179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D-03</w:t>
            </w:r>
          </w:p>
        </w:tc>
        <w:tc>
          <w:tcPr>
            <w:tcW w:type="dxa" w:w="179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报价详情 500</w:t>
            </w:r>
          </w:p>
        </w:tc>
        <w:tc>
          <w:tcPr>
            <w:tcW w:type="dxa" w:w="1792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调用了不存在的 rule_value_safe</w:t>
            </w:r>
          </w:p>
        </w:tc>
        <w:tc>
          <w:tcPr>
            <w:tcW w:type="dxa" w:w="1792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quote_view(r, names, threshold) 显式传阈值</w:t>
            </w:r>
          </w:p>
        </w:tc>
        <w:tc>
          <w:tcPr>
            <w:tcW w:type="dxa" w:w="179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接口报价用例</w:t>
            </w:r>
          </w:p>
        </w:tc>
      </w:tr>
      <w:tr>
        <w:tc>
          <w:tcPr>
            <w:tcW w:type="dxa" w:w="1792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D-04</w:t>
            </w:r>
          </w:p>
        </w:tc>
        <w:tc>
          <w:tcPr>
            <w:tcW w:type="dxa" w:w="1792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/api/reports 500 'function' object has no attribute '__wrapped__'</w:t>
            </w:r>
          </w:p>
        </w:tc>
        <w:tc>
          <w:tcPr>
            <w:tcW w:type="dxa" w:w="1792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with_db 装饰器未用 functools.wraps，包装后无 __wrapped__</w:t>
            </w:r>
          </w:p>
        </w:tc>
        <w:tc>
          <w:tcPr>
            <w:tcW w:type="dxa" w:w="1792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装饰器加 @functools.wraps</w:t>
            </w:r>
          </w:p>
        </w:tc>
        <w:tc>
          <w:tcPr>
            <w:tcW w:type="dxa" w:w="1792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test_reports_endpoints</w:t>
            </w:r>
          </w:p>
        </w:tc>
      </w:tr>
      <w:tr>
        <w:tc>
          <w:tcPr>
            <w:tcW w:type="dxa" w:w="179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D-05</w:t>
            </w:r>
          </w:p>
        </w:tc>
        <w:tc>
          <w:tcPr>
            <w:tcW w:type="dxa" w:w="179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合同建单 500</w:t>
            </w:r>
          </w:p>
        </w:tc>
        <w:tc>
          <w:tcPr>
            <w:tcW w:type="dxa" w:w="1792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内部复用了被装饰函数的 __wrapped__</w:t>
            </w:r>
          </w:p>
        </w:tc>
        <w:tc>
          <w:tcPr>
            <w:tcW w:type="dxa" w:w="1792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直接组装 contract_view 返回</w:t>
            </w:r>
          </w:p>
        </w:tc>
        <w:tc>
          <w:tcPr>
            <w:tcW w:type="dxa" w:w="1792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test_contract_create</w:t>
            </w:r>
          </w:p>
        </w:tc>
      </w:tr>
      <w:tr>
        <w:tc>
          <w:tcPr>
            <w:tcW w:type="dxa" w:w="1792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D-06</w:t>
            </w:r>
          </w:p>
        </w:tc>
        <w:tc>
          <w:tcPr>
            <w:tcW w:type="dxa" w:w="1792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商机结单 500</w:t>
            </w:r>
          </w:p>
        </w:tc>
        <w:tc>
          <w:tcPr>
            <w:tcW w:type="dxa" w:w="1792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同上，api_opportunity_stage.__wrapped__ 不可靠</w:t>
            </w:r>
          </w:p>
        </w:tc>
        <w:tc>
          <w:tcPr>
            <w:tcW w:type="dxa" w:w="1792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抽出 _stage_move() 供两个 handler 共用</w:t>
            </w:r>
          </w:p>
        </w:tc>
        <w:tc>
          <w:tcPr>
            <w:tcW w:type="dxa" w:w="1792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商机结单用例</w:t>
            </w:r>
          </w:p>
        </w:tc>
      </w:tr>
      <w:tr>
        <w:tc>
          <w:tcPr>
            <w:tcW w:type="dxa" w:w="179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D-07</w:t>
            </w:r>
          </w:p>
        </w:tc>
        <w:tc>
          <w:tcPr>
            <w:tcW w:type="dxa" w:w="1792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工单详情 ageHours 为负数</w:t>
            </w:r>
          </w:p>
        </w:tc>
        <w:tc>
          <w:tcPr>
            <w:tcW w:type="dxa" w:w="1792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误用 sla_left_hours(created_at) 取负</w:t>
            </w:r>
          </w:p>
        </w:tc>
        <w:tc>
          <w:tcPr>
            <w:tcW w:type="dxa" w:w="1792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新增 _hours_since() 正算</w:t>
            </w:r>
          </w:p>
        </w:tc>
        <w:tc>
          <w:tcPr>
            <w:tcW w:type="dxa" w:w="179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工单用例</w:t>
            </w:r>
          </w:p>
        </w:tc>
      </w:tr>
      <w:tr>
        <w:tc>
          <w:tcPr>
            <w:tcW w:type="dxa" w:w="1792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D-08</w:t>
            </w:r>
          </w:p>
        </w:tc>
        <w:tc>
          <w:tcPr>
            <w:tcW w:type="dxa" w:w="1792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SLA P2 剩余 1 小时仍判「临期」</w:t>
            </w:r>
          </w:p>
        </w:tc>
        <w:tc>
          <w:tcPr>
            <w:tcW w:type="dxa" w:w="1792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临期口径为「剩余 &lt; 时限 20%」，8h 档过于宽松</w:t>
            </w:r>
          </w:p>
        </w:tc>
        <w:tc>
          <w:tcPr>
            <w:tcW w:type="dxa" w:w="1792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改为绝对口径「剩余 ≤2h」</w:t>
            </w:r>
          </w:p>
        </w:tc>
        <w:tc>
          <w:tcPr>
            <w:tcW w:type="dxa" w:w="1792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单元 test_sla_state</w:t>
            </w:r>
          </w:p>
        </w:tc>
      </w:tr>
      <w:tr>
        <w:tc>
          <w:tcPr>
            <w:tcW w:type="dxa" w:w="179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D-09</w:t>
            </w:r>
          </w:p>
        </w:tc>
        <w:tc>
          <w:tcPr>
            <w:tcW w:type="dxa" w:w="1792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/api/openapi.json 连接被重置</w:t>
            </w:r>
          </w:p>
        </w:tc>
        <w:tc>
          <w:tcPr>
            <w:tcW w:type="dxa" w:w="1792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[..., for k, v in params] 遍历 dict 取到 key，ValueError 直接断连</w:t>
            </w:r>
          </w:p>
        </w:tc>
        <w:tc>
          <w:tcPr>
            <w:tcW w:type="dxa" w:w="1792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改 params.items()</w:t>
            </w:r>
          </w:p>
        </w:tc>
        <w:tc>
          <w:tcPr>
            <w:tcW w:type="dxa" w:w="1792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test_openapi_spec</w:t>
            </w:r>
          </w:p>
        </w:tc>
      </w:tr>
      <w:tr>
        <w:tc>
          <w:tcPr>
            <w:tcW w:type="dxa" w:w="1792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D-10</w:t>
            </w:r>
          </w:p>
        </w:tc>
        <w:tc>
          <w:tcPr>
            <w:tcW w:type="dxa" w:w="1792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「只看逾期」返回非逾期计划</w:t>
            </w:r>
          </w:p>
        </w:tc>
        <w:tc>
          <w:tcPr>
            <w:tcW w:type="dxa" w:w="1792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过滤用数据库里陈旧的 status 列</w:t>
            </w:r>
          </w:p>
        </w:tc>
        <w:tc>
          <w:tcPr>
            <w:tcW w:type="dxa" w:w="1792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以实时 plan_status() 计算后再过滤</w:t>
            </w:r>
          </w:p>
        </w:tc>
        <w:tc>
          <w:tcPr>
            <w:tcW w:type="dxa" w:w="1792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test_payment_plans_aging</w:t>
            </w:r>
          </w:p>
        </w:tc>
      </w:tr>
      <w:tr>
        <w:tc>
          <w:tcPr>
            <w:tcW w:type="dxa" w:w="179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D-11</w:t>
            </w:r>
          </w:p>
        </w:tc>
        <w:tc>
          <w:tcPr>
            <w:tcW w:type="dxa" w:w="1792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Webhook 头部实际发出为 X-Fyc-*</w:t>
            </w:r>
          </w:p>
        </w:tc>
        <w:tc>
          <w:tcPr>
            <w:tcW w:type="dxa" w:w="1792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urllib 对自定义头做 Title-Case 改写</w:t>
            </w:r>
          </w:p>
        </w:tc>
        <w:tc>
          <w:tcPr>
            <w:tcW w:type="dxa" w:w="1792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改用 http.client 直连发送，保持文档定义的原始大小写</w:t>
            </w:r>
          </w:p>
        </w:tc>
        <w:tc>
          <w:tcPr>
            <w:tcW w:type="dxa" w:w="1792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test_webhook_delivery_and_signature</w:t>
            </w:r>
          </w:p>
        </w:tc>
      </w:tr>
      <w:tr>
        <w:tc>
          <w:tcPr>
            <w:tcW w:type="dxa" w:w="1792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D-12</w:t>
            </w:r>
          </w:p>
        </w:tc>
        <w:tc>
          <w:tcPr>
            <w:tcW w:type="dxa" w:w="1792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线索查重把「…测试公司9597611」与「…9597613」判为重复，正常建单被拦</w:t>
            </w:r>
          </w:p>
        </w:tc>
        <w:tc>
          <w:tcPr>
            <w:tcW w:type="dxa" w:w="1792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最长公共子串相似度被编号噪声抬高</w:t>
            </w:r>
          </w:p>
        </w:tc>
        <w:tc>
          <w:tcPr>
            <w:tcW w:type="dxa" w:w="1792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新增 name_affinity()：相似度达标且（共有前缀 ≥2 字或一方包含另一方）才算疑似；并补单元用例</w:t>
            </w:r>
          </w:p>
        </w:tc>
        <w:tc>
          <w:tcPr>
            <w:tcW w:type="dxa" w:w="1792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单元 test_dup_numeric_noise_not_flagged</w:t>
            </w:r>
          </w:p>
        </w:tc>
      </w:tr>
      <w:tr>
        <w:tc>
          <w:tcPr>
            <w:tcW w:type="dxa" w:w="179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D-13</w:t>
            </w:r>
          </w:p>
        </w:tc>
        <w:tc>
          <w:tcPr>
            <w:tcW w:type="dxa" w:w="1792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推进「商务谈判」时填的竞品/决策人被丢弃，永远进不了该阶段</w:t>
            </w:r>
          </w:p>
        </w:tc>
        <w:tc>
          <w:tcPr>
            <w:tcW w:type="dxa" w:w="1792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_stage_move 只校验库内旧值，未合并请求体</w:t>
            </w:r>
          </w:p>
        </w:tc>
        <w:tc>
          <w:tcPr>
            <w:tcW w:type="dxa" w:w="179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先合并且校验、再落库</w:t>
            </w:r>
          </w:p>
        </w:tc>
        <w:tc>
          <w:tcPr>
            <w:tcW w:type="dxa" w:w="1792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单元 + 接口 test_opportunity_gate_backfill_on_advance + E2E</w:t>
            </w:r>
          </w:p>
        </w:tc>
      </w:tr>
      <w:tr>
        <w:tc>
          <w:tcPr>
            <w:tcW w:type="dxa" w:w="1792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D-14</w:t>
            </w:r>
          </w:p>
        </w:tc>
        <w:tc>
          <w:tcPr>
            <w:tcW w:type="dxa" w:w="1792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非管理员进「集成中心」整页空白</w:t>
            </w:r>
          </w:p>
        </w:tc>
        <w:tc>
          <w:tcPr>
            <w:tcW w:type="dxa" w:w="1792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概览接口 403 导致 .then 未执行，渲染逻辑在回调里</w:t>
            </w:r>
          </w:p>
        </w:tc>
        <w:tc>
          <w:tcPr>
            <w:tcW w:type="dxa" w:w="1792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先判角色渲染说明页，再请求数据</w:t>
            </w:r>
          </w:p>
        </w:tc>
        <w:tc>
          <w:tcPr>
            <w:tcW w:type="dxa" w:w="1792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E2E test_non_admin_integration_locked</w:t>
            </w:r>
          </w:p>
        </w:tc>
      </w:tr>
      <w:tr>
        <w:tc>
          <w:tcPr>
            <w:tcW w:type="dxa" w:w="179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D-15</w:t>
            </w:r>
          </w:p>
        </w:tc>
        <w:tc>
          <w:tcPr>
            <w:tcW w:type="dxa" w:w="1792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操作成功提示一闪就被页面摘要覆盖</w:t>
            </w:r>
          </w:p>
        </w:tc>
        <w:tc>
          <w:tcPr>
            <w:tcW w:type="dxa" w:w="1792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draw() 里的 setStatus 覆盖了 toast</w:t>
            </w:r>
          </w:p>
        </w:tc>
        <w:tc>
          <w:tcPr>
            <w:tcW w:type="dxa" w:w="1792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toast 置 6 秒保护窗口，摘要让位</w:t>
            </w:r>
          </w:p>
        </w:tc>
        <w:tc>
          <w:tcPr>
            <w:tcW w:type="dxa" w:w="1792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多个 E2E 用例断言 toast</w:t>
            </w:r>
          </w:p>
        </w:tc>
      </w:tr>
      <w:tr>
        <w:tc>
          <w:tcPr>
            <w:tcW w:type="dxa" w:w="1792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D-16</w:t>
            </w:r>
          </w:p>
        </w:tc>
        <w:tc>
          <w:tcPr>
            <w:tcW w:type="dxa" w:w="1792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报价弹层请求不存在的 /api/quotable-products，明细行加载失败</w:t>
            </w:r>
          </w:p>
        </w:tc>
        <w:tc>
          <w:tcPr>
            <w:tcW w:type="dxa" w:w="1792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前后端接口名不一致</w:t>
            </w:r>
          </w:p>
        </w:tc>
        <w:tc>
          <w:tcPr>
            <w:tcW w:type="dxa" w:w="1792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后端补 GET /api/products 并注册路由，前端改调用</w:t>
            </w:r>
          </w:p>
        </w:tc>
        <w:tc>
          <w:tcPr>
            <w:tcW w:type="dxa" w:w="1792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E2E test_quote_discount_approval_flow</w:t>
            </w:r>
          </w:p>
        </w:tc>
      </w:tr>
      <w:tr>
        <w:tc>
          <w:tcPr>
            <w:tcW w:type="dxa" w:w="179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D-17</w:t>
            </w:r>
          </w:p>
        </w:tc>
        <w:tc>
          <w:tcPr>
            <w:tcW w:type="dxa" w:w="1792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公网环境登录成功但随后所有接口 401，页面被弹回登录页</w:t>
            </w:r>
          </w:p>
        </w:tc>
        <w:tc>
          <w:tcPr>
            <w:tcW w:type="dxa" w:w="1792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部署环境的反向代理会注入自己的 Authorization: Bearer &lt;JWT&gt;，把前端票据覆盖掉，服务端只认这一个头</w:t>
            </w:r>
          </w:p>
        </w:tc>
        <w:tc>
          <w:tcPr>
            <w:tcW w:type="dxa" w:w="1792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服务端改为「多通道取票」：X-Fy-Token → X-Auth-Token → Authorization → Cookie fy_token → 查询串 ?token= → 请求体 token，逐个校验取首个有效；前端同时下发自定义头与 Cookie，双保险</w:t>
            </w:r>
          </w:p>
        </w:tc>
        <w:tc>
          <w:tcPr>
            <w:tcW w:type="dxa" w:w="1792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接口 test_token_fallback_channels + E2E test_session_expired_redirects_login</w:t>
            </w:r>
          </w:p>
        </w:tc>
      </w:tr>
    </w:tbl>
    <w:p>
      <w:pPr>
        <w:spacing w:after="0"/>
      </w:pPr>
    </w:p>
    <w:p>
      <w:pPr>
        <w:pStyle w:val="Heading1"/>
      </w:pPr>
      <w:r>
        <w:t>六、性能与稳定性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场景</w:t>
            </w:r>
          </w:p>
        </w:tc>
        <w:tc>
          <w:tcPr>
            <w:tcW w:type="dxa" w:w="447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观测</w:t>
            </w:r>
          </w:p>
        </w:tc>
      </w:tr>
      <w:tr>
        <w:tc>
          <w:tcPr>
            <w:tcW w:type="dxa" w:w="447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/api/bootstrap 首屏聚合</w:t>
            </w:r>
          </w:p>
        </w:tc>
        <w:tc>
          <w:tcPr>
            <w:tcW w:type="dxa" w:w="447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本机 &lt;60ms（36 客户 / 52 商机 / 30 回款计划）</w:t>
            </w:r>
          </w:p>
        </w:tc>
      </w:tr>
      <w:tr>
        <w:tc>
          <w:tcPr>
            <w:tcW w:type="dxa" w:w="447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列表接口（pageSize=500）</w:t>
            </w:r>
          </w:p>
        </w:tc>
        <w:tc>
          <w:tcPr>
            <w:tcW w:type="dxa" w:w="447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&lt;80ms</w:t>
            </w:r>
          </w:p>
        </w:tc>
      </w:tr>
      <w:tr>
        <w:tc>
          <w:tcPr>
            <w:tcW w:type="dxa" w:w="447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/api/reports 六块聚合</w:t>
            </w:r>
          </w:p>
        </w:tc>
        <w:tc>
          <w:tcPr>
            <w:tcW w:type="dxa" w:w="447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&lt;150ms</w:t>
            </w:r>
          </w:p>
        </w:tc>
      </w:tr>
      <w:tr>
        <w:tc>
          <w:tcPr>
            <w:tcW w:type="dxa" w:w="447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端到端 14 页连续遍历</w:t>
            </w:r>
          </w:p>
        </w:tc>
        <w:tc>
          <w:tcPr>
            <w:tcW w:type="dxa" w:w="447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45 秒内完成，无控制台报错</w:t>
            </w:r>
          </w:p>
        </w:tc>
      </w:tr>
      <w:tr>
        <w:tc>
          <w:tcPr>
            <w:tcW w:type="dxa" w:w="447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并发写</w:t>
            </w:r>
          </w:p>
        </w:tc>
        <w:tc>
          <w:tcPr>
            <w:tcW w:type="dxa" w:w="447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全写串行化（RLock），端到端与接口测试并发跑无 database is locked</w:t>
            </w:r>
          </w:p>
        </w:tc>
      </w:tr>
    </w:tbl>
    <w:p>
      <w:pPr>
        <w:spacing w:after="0"/>
      </w:pPr>
    </w:p>
    <w:p>
      <w:pPr>
        <w:pStyle w:val="Heading1"/>
      </w:pPr>
      <w:r>
        <w:t>七、遗留风险与后续建议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风险</w:t>
            </w:r>
          </w:p>
        </w:tc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说明</w:t>
            </w:r>
          </w:p>
        </w:tc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建议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SQLite 单写者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峰值写入会排队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超过 200 并发写时迁 PG/MySQL，db.py 已隔离 DDL 与连接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查重阈值依赖数据质量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阈值过松误拦、过紧漏判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上线后用真实客户名回测，必要时按行业调 dup_check</w:t>
            </w:r>
          </w:p>
        </w:tc>
      </w:tr>
      <w:tr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Webhook 无本地持久重放队列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极端情况下进程重启丢失待投递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生产环境将 webhook_deliveries 接外部队列或独立投递服务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无审计级快照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操作日志只有动作与摘要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关键单据加版本表，支持按时间点还原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单组织单币种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多组织/多币种需改造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已列为二期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移动端为窄屏适配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非原生 App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需要外勤场景时做企业微信/移动 H5 包</w:t>
            </w:r>
          </w:p>
        </w:tc>
      </w:tr>
    </w:tbl>
    <w:p>
      <w:pPr>
        <w:spacing w:after="0"/>
      </w:pPr>
    </w:p>
    <w:p>
      <w:pPr>
        <w:pStyle w:val="Heading1"/>
      </w:pPr>
      <w:r>
        <w:t>八、复现方式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# 全量门禁（三层串行，产出 reports/）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python scripts/run_tests.py</w:t>
      </w:r>
    </w:p>
    <w:p>
      <w:r>
        <w:rPr>
          <w:rFonts w:ascii="Times New Roman" w:hAnsi="Times New Roman" w:eastAsia="宋体"/>
          <w:b w:val="0"/>
          <w:i w:val="0"/>
          <w:sz w:val="21"/>
        </w:rPr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# 单套件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python -m pytest tests/test_unit_core.py -q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python -m pytest tests/test_api.py -q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python -m pytest tests/test_e2e_ui.py -q</w:t>
      </w:r>
    </w:p>
    <w:p>
      <w:r>
        <w:rPr>
          <w:rFonts w:ascii="Times New Roman" w:hAnsi="Times New Roman" w:eastAsia="宋体"/>
          <w:b w:val="0"/>
          <w:i w:val="0"/>
          <w:sz w:val="21"/>
        </w:rPr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# 离线 DEMO 冒烟（无需后端）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python tools/build_demo.py &amp;&amp; python tools/smoke_demo.py</w:t>
      </w:r>
    </w:p>
    <w:p>
      <w:r>
        <w:rPr>
          <w:rFonts w:ascii="Times New Roman" w:hAnsi="Times New Roman" w:eastAsia="宋体"/>
          <w:b w:val="0"/>
          <w:i w:val="0"/>
          <w:sz w:val="21"/>
        </w:rPr>
        <w:t>产物：reports/test_report.json（结构化）、reports/summary.md（执行摘要）、reports/junit_*.xml（CI 可解析）、reports/screenshots/*.png（14 张用例留档）。</w:t>
      </w:r>
    </w:p>
    <w:p>
      <w:pPr>
        <w:pStyle w:val="Heading1"/>
      </w:pPr>
      <w:r>
        <w:t>九、附：端到端用例截图清单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文件</w:t>
            </w:r>
          </w:p>
        </w:tc>
        <w:tc>
          <w:tcPr>
            <w:tcW w:type="dxa" w:w="447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对应场景</w:t>
            </w:r>
          </w:p>
        </w:tc>
      </w:tr>
      <w:tr>
        <w:tc>
          <w:tcPr>
            <w:tcW w:type="dxa" w:w="447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e2e-login_and_dashboard.png</w:t>
            </w:r>
          </w:p>
        </w:tc>
        <w:tc>
          <w:tcPr>
            <w:tcW w:type="dxa" w:w="447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登录与销售驾驶舱</w:t>
            </w:r>
          </w:p>
        </w:tc>
      </w:tr>
      <w:tr>
        <w:tc>
          <w:tcPr>
            <w:tcW w:type="dxa" w:w="447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e2e-all_pages_traverse.png</w:t>
            </w:r>
          </w:p>
        </w:tc>
        <w:tc>
          <w:tcPr>
            <w:tcW w:type="dxa" w:w="447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14 页遍历</w:t>
            </w:r>
          </w:p>
        </w:tc>
      </w:tr>
      <w:tr>
        <w:tc>
          <w:tcPr>
            <w:tcW w:type="dxa" w:w="447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e2e-lead_create_dup_hint_and_follow.png</w:t>
            </w:r>
          </w:p>
        </w:tc>
        <w:tc>
          <w:tcPr>
            <w:tcW w:type="dxa" w:w="447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线索建单、查重提示、写跟进</w:t>
            </w:r>
          </w:p>
        </w:tc>
      </w:tr>
      <w:tr>
        <w:tc>
          <w:tcPr>
            <w:tcW w:type="dxa" w:w="447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e2e-lead_convert_to_customer.png</w:t>
            </w:r>
          </w:p>
        </w:tc>
        <w:tc>
          <w:tcPr>
            <w:tcW w:type="dxa" w:w="447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线索转客户并跳转客户 360</w:t>
            </w:r>
          </w:p>
        </w:tc>
      </w:tr>
      <w:tr>
        <w:tc>
          <w:tcPr>
            <w:tcW w:type="dxa" w:w="447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e2e-customer_create_and_360_tabs.png</w:t>
            </w:r>
          </w:p>
        </w:tc>
        <w:tc>
          <w:tcPr>
            <w:tcW w:type="dxa" w:w="447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新建客户与 360 六标签</w:t>
            </w:r>
          </w:p>
        </w:tc>
      </w:tr>
      <w:tr>
        <w:tc>
          <w:tcPr>
            <w:tcW w:type="dxa" w:w="447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e2e-opportunity_stage_gate_advance.png</w:t>
            </w:r>
          </w:p>
        </w:tc>
        <w:tc>
          <w:tcPr>
            <w:tcW w:type="dxa" w:w="447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商机闸口与跨级推进</w:t>
            </w:r>
          </w:p>
        </w:tc>
      </w:tr>
      <w:tr>
        <w:tc>
          <w:tcPr>
            <w:tcW w:type="dxa" w:w="447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e2e-quote_discount_approval_flow.png</w:t>
            </w:r>
          </w:p>
        </w:tc>
        <w:tc>
          <w:tcPr>
            <w:tcW w:type="dxa" w:w="447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报价折扣审批链路</w:t>
            </w:r>
          </w:p>
        </w:tc>
      </w:tr>
      <w:tr>
        <w:tc>
          <w:tcPr>
            <w:tcW w:type="dxa" w:w="447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e2e-contract_sign_and_payment.png</w:t>
            </w:r>
          </w:p>
        </w:tc>
        <w:tc>
          <w:tcPr>
            <w:tcW w:type="dxa" w:w="447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合同签署与收款</w:t>
            </w:r>
          </w:p>
        </w:tc>
      </w:tr>
      <w:tr>
        <w:tc>
          <w:tcPr>
            <w:tcW w:type="dxa" w:w="447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e2e-ticket_sla_full_flow.png</w:t>
            </w:r>
          </w:p>
        </w:tc>
        <w:tc>
          <w:tcPr>
            <w:tcW w:type="dxa" w:w="447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工单 SLA 全流程</w:t>
            </w:r>
          </w:p>
        </w:tc>
      </w:tr>
      <w:tr>
        <w:tc>
          <w:tcPr>
            <w:tcW w:type="dxa" w:w="447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e2e-reports_six_tabs.png</w:t>
            </w:r>
          </w:p>
        </w:tc>
        <w:tc>
          <w:tcPr>
            <w:tcW w:type="dxa" w:w="447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报表六标签</w:t>
            </w:r>
          </w:p>
        </w:tc>
      </w:tr>
      <w:tr>
        <w:tc>
          <w:tcPr>
            <w:tcW w:type="dxa" w:w="447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e2e-integration_key_and_webhook.png</w:t>
            </w:r>
          </w:p>
        </w:tc>
        <w:tc>
          <w:tcPr>
            <w:tcW w:type="dxa" w:w="447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集成中心 Key 与 Webhook</w:t>
            </w:r>
          </w:p>
        </w:tc>
      </w:tr>
      <w:tr>
        <w:tc>
          <w:tcPr>
            <w:tcW w:type="dxa" w:w="447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e2e-settings_rule_toggle.png</w:t>
            </w:r>
          </w:p>
        </w:tc>
        <w:tc>
          <w:tcPr>
            <w:tcW w:type="dxa" w:w="447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规则启停</w:t>
            </w:r>
          </w:p>
        </w:tc>
      </w:tr>
      <w:tr>
        <w:tc>
          <w:tcPr>
            <w:tcW w:type="dxa" w:w="447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e2e-non_admin_integration_locked.png</w:t>
            </w:r>
          </w:p>
        </w:tc>
        <w:tc>
          <w:tcPr>
            <w:tcW w:type="dxa" w:w="447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非管理员集成锁定</w:t>
            </w:r>
          </w:p>
        </w:tc>
      </w:tr>
      <w:tr>
        <w:tc>
          <w:tcPr>
            <w:tcW w:type="dxa" w:w="447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e2e-session_expired_redirects_login.png</w:t>
            </w:r>
          </w:p>
        </w:tc>
        <w:tc>
          <w:tcPr>
            <w:tcW w:type="dxa" w:w="447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会话失效跳转</w:t>
            </w:r>
          </w:p>
        </w:tc>
      </w:tr>
    </w:tbl>
    <w:p>
      <w:pPr>
        <w:spacing w:after="0"/>
      </w:pPr>
    </w:p>
    <w:p>
      <w:pPr>
        <w:pStyle w:val="Heading1"/>
      </w:pPr>
      <w:r>
        <w:t>十、部署验收（公网环境）</w:t>
      </w:r>
    </w:p>
    <w:p>
      <w:r>
        <w:rPr>
          <w:rFonts w:ascii="Times New Roman" w:hAnsi="Times New Roman" w:eastAsia="宋体"/>
          <w:b w:val="0"/>
          <w:i w:val="0"/>
          <w:sz w:val="21"/>
        </w:rPr>
        <w:t>代码经门禁通过后发布到云端沙箱（单端口 HTTP 服务），发布后按下列清单复验，全部通过：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项</w:t>
            </w:r>
          </w:p>
        </w:tc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方法</w:t>
            </w:r>
          </w:p>
        </w:tc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结果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服务存活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 /api/health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{"status":"up","version":"1.0.0","customers":36}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静态首页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 /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200，1.8 KB，Cache-Control: no-cache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账号登录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POST /api/auth/login（admin/admin123）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200，返回会话票据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鉴权通道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票据分别走 X-Fy-Token / Cookie / ?token=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均 200（详见缺陷 D-17）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首屏数据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浏览器登录后 #dashboard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加权商机 686.8 万 / 本月签约 93.0 万 / 赢单率 61.1% / 逾期应收 87.0 万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关键页面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#/leads #/customers #/opportunities #/reports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分别渲染 48 条线索、36 家客户、34 个在谈商机、报表漏斗，控制台无报错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会话失效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清空票据后访问内页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自动跳回登录页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958"/>
      </w:tblGrid>
      <w:tr>
        <w:tc>
          <w:tcPr>
            <w:tcW w:type="dxa" w:w="8787"/>
            <w:shd w:val="clear" w:color="auto" w:fill="EAF2FB"/>
          </w:tcPr>
          <w:p>
            <w:pPr>
              <w:spacing w:line="312" w:lineRule="auto"/>
            </w:pPr>
            <w:r>
              <w:rPr>
                <w:rFonts w:ascii="Times New Roman" w:hAnsi="Times New Roman" w:eastAsia="黑体"/>
                <w:b/>
                <w:i w:val="0"/>
                <w:color w:val="1F7A8C"/>
                <w:sz w:val="19"/>
              </w:rPr>
              <w:t>◆ 说明：</w:t>
            </w:r>
            <w:r>
              <w:rPr>
                <w:rFonts w:ascii="Times New Roman" w:hAnsi="Times New Roman" w:eastAsia="宋体"/>
                <w:b w:val="0"/>
                <w:i w:val="0"/>
                <w:color w:val="2B333B"/>
                <w:sz w:val="19"/>
              </w:rPr>
              <w:t>发布环境与本地差异只在反向代理层；本轮把「票据来源」做成多通道后，同一份代码在本地、公网表现一致，无需为环境打补丁。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headerReference w:type="default" r:id="rId10"/>
      <w:pgSz w:w="11906" w:h="16838"/>
      <w:pgMar w:top="1304" w:right="1474" w:bottom="130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color w:val="6B7786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1" w:color="C9D2DB"/>
      </w:pBdr>
    </w:pPr>
    <w:r>
      <w:rPr>
        <w:rFonts w:ascii="Times New Roman" w:hAnsi="Times New Roman" w:eastAsia="楷体"/>
        <w:b w:val="0"/>
        <w:i w:val="0"/>
        <w:color w:val="6B7786"/>
        <w:sz w:val="17"/>
      </w:rPr>
      <w:t>飞鹰CRM系统 · 项目文档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60"/>
    </w:pPr>
    <w:rPr>
      <w:rFonts w:ascii="Times New Roman" w:hAnsi="Times New Roman" w:eastAsia="宋体"/>
      <w:color w:val="2B33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400" w:after="200" w:line="300" w:lineRule="auto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143D4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 w:line="300" w:lineRule="auto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143D46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300" w:lineRule="auto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1F7A8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