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68"/>
        </w:rPr>
        <w:t>飞 育 教 育 管 理 系 统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2B333B"/>
          <w:sz w:val="44"/>
        </w:rPr>
        <w:t>接 口 契 约</w:t>
      </w:r>
    </w:p>
    <w:p>
      <w:pPr>
        <w:jc w:val="center"/>
      </w:pPr>
      <w:r>
        <w:rPr>
          <w:rFonts w:ascii="Times New Roman" w:hAnsi="Times New Roman" w:eastAsia="楷体"/>
          <w:b w:val="0"/>
          <w:i w:val="0"/>
          <w:color w:val="6B7786"/>
          <w:sz w:val="26"/>
        </w:rPr>
        <w:t>—— 63 REST 路由 · API Key · 幂等 · 增量同步 · OpenAPI 3.0 ——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项目名称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飞育教育管理系统建设项目（FeiYu Edu）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文档版本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V1.0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编制单位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飞育科技 · 教育数字化项目组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编制日期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2026 年 10 月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文档密级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对外可提供（对接方）</w:t>
            </w:r>
          </w:p>
        </w:tc>
      </w:tr>
      <w:tr>
        <w:tc>
          <w:tcPr>
            <w:tcW w:type="dxa" w:w="2268"/>
            <w:shd w:val="clear" w:color="auto" w:fill="EAF2FB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13A33"/>
                <w:sz w:val="21"/>
              </w:rPr>
              <w:t>文档状态</w:t>
            </w:r>
          </w:p>
        </w:tc>
        <w:tc>
          <w:tcPr>
            <w:tcW w:type="dxa" w:w="5102"/>
          </w:tcPr>
          <w:p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放行对接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color w:val="113A33"/>
          <w:sz w:val="32"/>
        </w:rPr>
        <w:t>目  录</w:t>
      </w:r>
    </w:p>
    <w:p>
      <w:r>
        <w:rPr>
          <w:rFonts w:ascii="Times New Roman" w:hAnsi="Times New Roman" w:eastAsia="宋体"/>
          <w:b w:val="0"/>
          <w:i w:val="0"/>
          <w:color w:val="6B7786"/>
          <w:sz w:val="21"/>
        </w:rPr>
        <w:fldChar w:fldCharType="begin"/>
        <w:instrText xml:space="preserve">TOC \o "1-3" \h \z \u</w:instrText>
        <w:fldChar w:fldCharType="separate"/>
        <w:t>（打开文档后按 F9 或右键“更新域”生成目录）</w:t>
        <w:fldChar w:fldCharType="end"/>
      </w:r>
    </w:p>
    <w:p>
      <w:r>
        <w:rPr>
          <w:rFonts w:ascii="Times New Roman" w:hAnsi="Times New Roman" w:eastAsia="宋体"/>
          <w:b w:val="0"/>
          <w:i w:val="0"/>
          <w:sz w:val="21"/>
        </w:rPr>
        <w:t>版本：v1.0　日期：2026-10　路由总数：63</w:t>
      </w:r>
    </w:p>
    <w:p>
      <w:pPr>
        <w:pStyle w:val="Heading1"/>
      </w:pPr>
      <w:r>
        <w:t>1. 通用约定</w:t>
      </w:r>
    </w:p>
    <w:p>
      <w:pPr>
        <w:pStyle w:val="Heading2"/>
      </w:pPr>
      <w:r>
        <w:t>1.1 响应包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{ "code": 200, "message": "ok", "data": { } }</w:t>
      </w:r>
    </w:p>
    <w:p>
      <w:r>
        <w:rPr>
          <w:rFonts w:ascii="Times New Roman" w:hAnsi="Times New Roman" w:eastAsia="宋体"/>
          <w:b w:val="0"/>
          <w:i w:val="0"/>
          <w:sz w:val="21"/>
        </w:rPr>
        <w:t>code 与 HTTP 状态码一致：200 成功；400 参数错误；401 未登录；403 无权限；404 不存在；500 内部错误。</w:t>
      </w:r>
    </w:p>
    <w:p>
      <w:pPr>
        <w:pStyle w:val="Heading2"/>
      </w:pPr>
      <w:r>
        <w:t>1.2 鉴权（五通道，任选其一）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方式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Bearer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Authorization: Bearer &lt;token&gt;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自定义头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X-Edu-Token: &lt;token&gt;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Cookie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edu_token=&lt;token&gt;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URL 参数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 /api/students?token=&lt;token&gt;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接口密钥</w:t>
            </w:r>
          </w:p>
        </w:tc>
        <w:tc>
          <w:tcPr>
            <w:tcW w:type="dxa" w:w="447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X-Edu-Key: fk_xxx（服务端存 SHA-256）</w:t>
            </w:r>
          </w:p>
        </w:tc>
      </w:tr>
    </w:tbl>
    <w:p>
      <w:pPr>
        <w:spacing w:after="0"/>
      </w:pPr>
    </w:p>
    <w:p>
      <w:pPr>
        <w:pStyle w:val="Heading2"/>
      </w:pPr>
      <w:r>
        <w:t>1.3 幂等</w:t>
      </w:r>
    </w:p>
    <w:p>
      <w:r>
        <w:rPr>
          <w:rFonts w:ascii="Times New Roman" w:hAnsi="Times New Roman" w:eastAsia="宋体"/>
          <w:b w:val="0"/>
          <w:i w:val="0"/>
          <w:sz w:val="21"/>
        </w:rPr>
        <w:t>写接口可携带 Idempotency-Key: &lt;uuid&gt;；重复请求直接返回首次结果（存 idem_keys 表）。</w:t>
      </w:r>
    </w:p>
    <w:p>
      <w:pPr>
        <w:pStyle w:val="Heading2"/>
      </w:pPr>
      <w:r>
        <w:t>1.4 增量同步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GET /api/sync/version                          → {students: 12, scores: 5, ...}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GET /api/sync?version=students:3&amp;entities=students,scores</w:t>
      </w:r>
    </w:p>
    <w:p>
      <w:r>
        <w:rPr>
          <w:rFonts w:ascii="Times New Roman" w:hAnsi="Times New Roman" w:eastAsia="宋体"/>
          <w:b w:val="0"/>
          <w:i w:val="0"/>
          <w:sz w:val="21"/>
        </w:rPr>
        <w:t>版本号变化才返回 data，未变化只返回 version。</w:t>
      </w:r>
    </w:p>
    <w:p>
      <w:pPr>
        <w:pStyle w:val="Heading2"/>
      </w:pPr>
      <w:r>
        <w:t>1.5 列表返回</w:t>
      </w:r>
    </w:p>
    <w:p>
      <w:r>
        <w:rPr>
          <w:rFonts w:ascii="Times New Roman" w:hAnsi="Times New Roman" w:eastAsia="宋体"/>
          <w:b w:val="0"/>
          <w:i w:val="0"/>
          <w:sz w:val="21"/>
        </w:rPr>
        <w:t>列表型接口统一返回 {list: [...], total: n}。</w:t>
      </w:r>
    </w:p>
    <w:p>
      <w:pPr>
        <w:pStyle w:val="Heading1"/>
      </w:pPr>
      <w:r>
        <w:t>2. 认证与平台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/api/health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健康检查（品牌/版本/路由数/计数）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/api/apidoc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全量路由清单 + 对接说明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/api/auth/login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 {username, password} → {token, name, role}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/api/auth/logout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注销 {token}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/api/auth/me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当前用户信息 + 权限点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/api/auth/change-password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登录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改密 {old_password, new_password}</w:t>
            </w:r>
          </w:p>
        </w:tc>
      </w:tr>
    </w:tbl>
    <w:p>
      <w:pPr>
        <w:spacing w:after="0"/>
      </w:pPr>
    </w:p>
    <w:p>
      <w:pPr>
        <w:pStyle w:val="Heading1"/>
      </w:pPr>
      <w:r>
        <w:t>3. 工作台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/api/dashboard?term=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dashboard.read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KPI + 趋势 + 学科均分 + 待办 + 公告 + 预警</w:t>
            </w:r>
          </w:p>
        </w:tc>
      </w:tr>
    </w:tbl>
    <w:p>
      <w:pPr>
        <w:spacing w:after="0"/>
      </w:pPr>
    </w:p>
    <w:p>
      <w:pPr>
        <w:pStyle w:val="Heading1"/>
      </w:pPr>
      <w:r>
        <w:t>4. 校区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/api/schools?kw=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校区列表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/api/schools/{code}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校区详情 + 统计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/api/schools/save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新建/更新 {code?, name, city...}</w:t>
            </w:r>
          </w:p>
        </w:tc>
      </w:tr>
    </w:tbl>
    <w:p>
      <w:pPr>
        <w:spacing w:after="0"/>
      </w:pPr>
    </w:p>
    <w:p>
      <w:pPr>
        <w:pStyle w:val="Heading1"/>
      </w:pPr>
      <w:r>
        <w:t>5. 教师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/api/teachers?kw=&amp;school=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教师列表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/api/teachers/{no}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教师详情（课程/排课/带班统计）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/api/teachers/save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新建/更新 {no?, name, subject...}</w:t>
            </w:r>
          </w:p>
        </w:tc>
      </w:tr>
    </w:tbl>
    <w:p>
      <w:pPr>
        <w:spacing w:after="0"/>
      </w:pPr>
    </w:p>
    <w:p>
      <w:pPr>
        <w:pStyle w:val="Heading1"/>
      </w:pPr>
      <w:r>
        <w:t>6. 班级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/api/classes?kw=&amp;grade=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班级列表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/api/classes/{no}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班级详情（students + schedule）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/api/classes/save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新建/更新，自动重算人数</w:t>
            </w:r>
          </w:p>
        </w:tc>
      </w:tr>
    </w:tbl>
    <w:p>
      <w:pPr>
        <w:spacing w:after="0"/>
      </w:pPr>
    </w:p>
    <w:p>
      <w:pPr>
        <w:pStyle w:val="Heading1"/>
      </w:pPr>
      <w:r>
        <w:t>7. 学生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/api/students?kw=&amp;class_no=&amp;grade=&amp;status=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学生列表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/api/students/{no}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学生档案（成绩/成绩单/GPA/考勤/缴费/变动）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/api/students/save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新建/更新 {no?, name, class_no, grade, guardian_phone...}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/api/students/status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学籍状态变更 {no, status∈在读/休学/转出/毕业/退学}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校验规则：姓名必填；性别只能男/女；监护人手机号须为数字。</w:t>
      </w:r>
    </w:p>
    <w:p>
      <w:pPr>
        <w:pStyle w:val="Heading1"/>
      </w:pPr>
      <w:r>
        <w:t>8. 课程与排课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/api/courses?kw=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课程列表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/api/courses/{code}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课程详情 + 统计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/api/courses/save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新建/更新 {code?, name, subject, teacher, credit...}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/api/schedule?class_no=&amp;term=&amp;with_conflicts=1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课表（可带冲突检测）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/api/schedule/save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批量排课 {items:[{class_no, course, weekday, slot...}]}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/api/schedule/conflicts?term=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冲突清单（班级冲突/教师冲突）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weekday 1~7（周一~周日），slot 1~12。</w:t>
      </w:r>
    </w:p>
    <w:p>
      <w:pPr>
        <w:pStyle w:val="Heading1"/>
      </w:pPr>
      <w:r>
        <w:t>9. 成绩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/api/scores?student_no=&amp;course=&amp;exam=&amp;term=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成绩明细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/api/scores/save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score.write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批量录入/覆盖 {items:[{student_no, course, exam, score}]}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/api/scores/analysis?term=&amp;exam=&amp;class_no=&amp;course=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学科统计 + TOP10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/api/scores/rank?class_no=&amp;term=&amp;exam=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班级总分排名（同分并列）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/api/scores/transcript/{no}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成绩单（等级/GPA/学分绩/班级排名）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同一学生×课程×考试×学期重复录入为覆盖更新。成绩须 0 ≤ score ≤ full_score。</w:t>
      </w:r>
    </w:p>
    <w:p>
      <w:pPr>
        <w:pStyle w:val="Heading1"/>
      </w:pPr>
      <w:r>
        <w:t>10. 考勤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/api/attendance?student_no=&amp;class_no=&amp;adate=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考勤明细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/api/attendance/save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批量登记 {items:[{student_no, status}]}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/api/attendance/stats?days=30&amp;class_no=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出勤统计（总体 + 按学生）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status ∈ 出勤/迟到/病假/事假/旷课。</w:t>
      </w:r>
    </w:p>
    <w:p>
      <w:pPr>
        <w:pStyle w:val="Heading1"/>
      </w:pPr>
      <w:r>
        <w:t>11. 缴费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/api/fees?student_no=&amp;term=&amp;status=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缴费单列表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/api/fees/save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fee.write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新建/更新（自动算应收与状态）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/api/fees/pay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fee.write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核销 {no, amount, pay_method}，满额自动缴清，幂等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/api/fees/summary?term=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收缴汇总（应收/已收/收缴率/逾期单）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应收 = 金额 × (1−折扣%) − 减免，Decimal 精确到分。折扣 0~100。</w:t>
      </w:r>
    </w:p>
    <w:p>
      <w:pPr>
        <w:pStyle w:val="Heading1"/>
      </w:pPr>
      <w:r>
        <w:t>12. 学籍变动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/api/transfers?student_no=&amp;status=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变动单列表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/api/transfers/save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申请 {student_no, kind, to_value, reason}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/api/transfers/approve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审批 {no, action: approve/reject}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宋体"/>
          <w:b w:val="0"/>
          <w:i w:val="0"/>
          <w:sz w:val="21"/>
        </w:rPr>
        <w:t>kind ∈ 转班/转入/转出/休学/复学/退学/毕业。转班审批通过自动迁移班级并重算人数。</w:t>
      </w:r>
    </w:p>
    <w:p>
      <w:pPr>
        <w:pStyle w:val="Heading1"/>
      </w:pPr>
      <w:r>
        <w:t>13. 风险预警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/api/risks?status=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risk.read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预警列表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/api/risks/scan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risk.read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执行扫描（欠费逾期/学业/旷课三类），返回新增清单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/api/risks/close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risk.read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处理 {id}</w:t>
            </w:r>
          </w:p>
        </w:tc>
      </w:tr>
    </w:tbl>
    <w:p>
      <w:pPr>
        <w:spacing w:after="0"/>
      </w:pPr>
    </w:p>
    <w:p>
      <w:pPr>
        <w:pStyle w:val="Heading1"/>
      </w:pPr>
      <w:r>
        <w:t>14. 政策 / 公告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/api/policies?kw=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政策列表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/api/policies/{id}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政策详情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/api/notices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-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公告列表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/api/notices/save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edu.write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发布公告 {title, body, top}</w:t>
            </w:r>
          </w:p>
        </w:tc>
      </w:tr>
    </w:tbl>
    <w:p>
      <w:pPr>
        <w:spacing w:after="0"/>
      </w:pPr>
    </w:p>
    <w:p>
      <w:pPr>
        <w:pStyle w:val="Heading1"/>
      </w:pPr>
      <w:r>
        <w:t>15. 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/api/reports/summary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report.read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四合一总览（教学/学业/考勤/收费）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/api/reports/trend?class_no=&amp;course=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report.read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考试均分趋势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/api/reports/attendance?days=&amp;class_no=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report.read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考勤报表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/api/reports/fee?term=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report.read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收费报表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/api/reports/grade-dist?term=&amp;exam=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report.read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等级分布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/api/reports/export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report.read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学生名单 CSV（UTF-8 BOM）</w:t>
            </w:r>
          </w:p>
        </w:tc>
      </w:tr>
    </w:tbl>
    <w:p>
      <w:pPr>
        <w:spacing w:after="0"/>
      </w:pPr>
    </w:p>
    <w:p>
      <w:pPr>
        <w:pStyle w:val="Heading1"/>
      </w:pPr>
      <w:r>
        <w:t>16. 平台管理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方法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路径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权限</w:t>
            </w:r>
          </w:p>
        </w:tc>
        <w:tc>
          <w:tcPr>
            <w:tcW w:type="dxa" w:w="223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/api/users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org.read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用户列表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/api/users/save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org.read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用户信息维护（不开放自助建号）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/api/roles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org.read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角色 + 权限点矩阵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/api/depts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org.read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部门列表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/api/logs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操作日志（最近 300 条）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/api/api-keys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密钥列表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POST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/api/api-keys/create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system.read</w:t>
            </w:r>
          </w:p>
        </w:tc>
        <w:tc>
          <w:tcPr>
            <w:tcW w:type="dxa" w:w="2239"/>
            <w:vAlign w:val="center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生成密钥（明文仅展示一次）</w:t>
            </w:r>
          </w:p>
        </w:tc>
      </w:tr>
      <w:tr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/api/sync/version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各实体同步版本</w:t>
            </w:r>
          </w:p>
        </w:tc>
      </w:tr>
      <w:tr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GET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/api/sync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edu.read</w:t>
            </w:r>
          </w:p>
        </w:tc>
        <w:tc>
          <w:tcPr>
            <w:tcW w:type="dxa" w:w="223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增量同步</w:t>
            </w:r>
          </w:p>
        </w:tc>
      </w:tr>
    </w:tbl>
    <w:p>
      <w:pPr>
        <w:spacing w:after="0"/>
      </w:pPr>
    </w:p>
    <w:p>
      <w:pPr>
        <w:pStyle w:val="Heading1"/>
      </w:pPr>
      <w:r>
        <w:t>17. 错误码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code</w:t>
            </w:r>
          </w:p>
        </w:tc>
        <w:tc>
          <w:tcPr>
            <w:tcW w:type="dxa" w:w="4479"/>
            <w:shd w:val="clear" w:color="auto" w:fill="2F6FB2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FFFFFF"/>
                <w:sz w:val="17"/>
              </w:rPr>
              <w:t>含义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200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成功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400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参数错误（message 带原因）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401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未登录 / 凭证无效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403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无权限（message 带 需要 xxx）</w:t>
            </w:r>
          </w:p>
        </w:tc>
      </w:tr>
      <w:tr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404</w:t>
            </w:r>
          </w:p>
        </w:tc>
        <w:tc>
          <w:tcPr>
            <w:tcW w:type="dxa" w:w="447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资源不存在</w:t>
            </w:r>
          </w:p>
        </w:tc>
      </w:tr>
      <w:tr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500</w:t>
            </w:r>
          </w:p>
        </w:tc>
        <w:tc>
          <w:tcPr>
            <w:tcW w:type="dxa" w:w="4479"/>
            <w:vAlign w:val="center"/>
            <w:shd w:val="clear" w:color="auto" w:fill="F3F7FB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服务器内部错误</w:t>
            </w:r>
          </w:p>
        </w:tc>
      </w:tr>
    </w:tbl>
    <w:p>
      <w:pPr>
        <w:spacing w:after="0"/>
      </w:pPr>
    </w:p>
    <w:p>
      <w:pPr>
        <w:pStyle w:val="Heading1"/>
      </w:pPr>
      <w:r>
        <w:t>18. 对接示例（Python）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import requests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BASE = "http://42.193.158.63/edu"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1. 密钥方式拉取学生（增量）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r = requests.get(BASE + "/api/sync",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params={"version": "students:0", "entities": "students"},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headers={"X-Edu-Key": "fk_xxx"}).json()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students = r["data"]["entities"]["students"]["data"]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2. Token 方式批量录入成绩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token = requests.post(BASE + "/api/auth/login",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json={"username": "lijw", "password": "***"}).json()["data"]["token"]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requests.post(BASE + "/api/scores/save",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json={"items": [{"student_no": "ST0001", "course": "KC001",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           "exam": "期末", "score": 92}]},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headers={"Authorization": "Bearer " + token,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   "Idempotency-Key": "score-2026-final-001"})</w:t>
      </w:r>
    </w:p>
    <w:p>
      <w:r>
        <w:rPr>
          <w:rFonts w:ascii="Times New Roman" w:hAnsi="Times New Roman" w:eastAsia="宋体"/>
          <w:b w:val="0"/>
          <w:i w:val="0"/>
          <w:sz w:val="21"/>
        </w:rPr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# 3. 报表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r = requests.get(BASE + "/api/reports/summary",</w:t>
      </w:r>
    </w:p>
    <w:p>
      <w:r>
        <w:rPr>
          <w:rFonts w:ascii="Times New Roman" w:hAnsi="Times New Roman" w:eastAsia="宋体"/>
          <w:b w:val="0"/>
          <w:i w:val="0"/>
          <w:sz w:val="21"/>
        </w:rPr>
        <w:t xml:space="preserve">　　                 headers={"Authorization": "Bearer " + token}).json()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B7786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C9D2DB"/>
      </w:pBdr>
    </w:pPr>
    <w:r>
      <w:rPr>
        <w:rFonts w:ascii="Times New Roman" w:hAnsi="Times New Roman" w:eastAsia="楷体"/>
        <w:b w:val="0"/>
        <w:i w:val="0"/>
        <w:color w:val="6B7786"/>
        <w:sz w:val="17"/>
      </w:rPr>
      <w:t>飞效OA管理系统 · 项目文档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60"/>
    </w:pPr>
    <w:rPr>
      <w:rFonts w:ascii="Times New Roman" w:hAnsi="Times New Roman" w:eastAsia="宋体"/>
      <w:color w:val="2B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00" w:after="200" w:line="30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30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13A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0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6E5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