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运 运 输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测 试 报 告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三道门禁：pytest 47 + UI 巡检 13 + 冒烟 67 · 全绿放行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飞运运输管理系统建设项目（FeiYun TMS）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飞运科技 · 物流数字化项目组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放行部署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日期：2026-10-24</w:t>
      </w:r>
    </w:p>
    <w:p>
      <w:pPr>
        <w:pStyle w:val="Heading1"/>
      </w:pPr>
      <w:r>
        <w:t>1. 测试范围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计算内核单测（运价 / ETA / 油耗 / 装载率 / 结算拆分 / 逾期 / 风险评分 / 状态机 / 校验 / 权限）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API 集成测试（鉴权 / CRUD / 运单全流程 / 结算 / 幂等 / 同步 / 导出 / 权限矩阵）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UI 巡检（Playwright 登录 + 12 页面 + JS 异常监控）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冒烟测试（本地 67 项）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DEMO 快照校验（45 接口快照 / 12 页面渲染）</w:t>
      </w:r>
    </w:p>
    <w:p>
      <w:pPr>
        <w:pStyle w:val="Heading1"/>
      </w:pPr>
      <w:r>
        <w:t>2.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值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操作系统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Windows / Linux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3.13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SQLite WAL（临时库，测试隔离）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测试框架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pytest + Playwright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服务地址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http://127.0.0.1:8026（本地）/ http://42.193.158.63/tms（线上）</w:t>
            </w:r>
          </w:p>
        </w:tc>
      </w:tr>
    </w:tbl>
    <w:p>
      <w:pPr>
        <w:spacing w:after="0"/>
      </w:pPr>
    </w:p>
    <w:p>
      <w:pPr>
        <w:pStyle w:val="Heading1"/>
      </w:pPr>
      <w:r>
        <w:t>3. 测试结果汇总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门禁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用例数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通过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失败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pytest 单元+集成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47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47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全绿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Playwright UI 巡检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全绿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冒烟测试（本地）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67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67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全绿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 快照渲染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 页面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全绿</w:t>
            </w:r>
          </w:p>
        </w:tc>
      </w:tr>
    </w:tbl>
    <w:p>
      <w:pPr>
        <w:spacing w:after="0"/>
      </w:pPr>
    </w:p>
    <w:p>
      <w:pPr>
        <w:pStyle w:val="Heading1"/>
      </w:pPr>
      <w:r>
        <w:t>4. 关键用例说明</w:t>
      </w:r>
    </w:p>
    <w:p>
      <w:pPr>
        <w:pStyle w:val="Heading2"/>
      </w:pPr>
      <w:r>
        <w:t>4.1 计算内核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运价三模式（按重 10000kg×200km×60分=120000 分；按方；按趟）✅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Decimal HALF_UP 进位（100.005 → 100.01）✅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ETA 强制休息（480km/60km/h → 8.5h）✅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结算拆分（司机应付 60%，亏损时为 0）✅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风险分档（0 正常 / &gt;0 提 / ≥35 警 / ≥60 险，封顶 100）✅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状态机非法迁移拒绝（pending 不可直达 delivered）✅</w:t>
      </w:r>
    </w:p>
    <w:p>
      <w:pPr>
        <w:pStyle w:val="Heading2"/>
      </w:pPr>
      <w:r>
        <w:t>4.2 业务流程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运单全生命周期：创建 → 调度（车辆/司机占用检查）→ 跟踪上报 → 签收（自动生成结算）→ 取消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调度冲突：占用车辆再调度返回 422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幂等键：同 Idempotency-Key 重复请求返回同一结果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增量同步：since=0 返回全量版本；since=current 返回空变更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CSV 导出：UTF-8 BOM，表头正确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客户有运单时禁止删除（409）✅</w:t>
      </w:r>
    </w:p>
    <w:p>
      <w:pPr>
        <w:pStyle w:val="Heading2"/>
      </w:pPr>
      <w:r>
        <w:t>4.3 安全与权限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未认证统一 401；权限不足统一 403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五通道鉴权：Bearer / X-Token / Cookie / ?token= / X-Api-Key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reader 角色只读（写操作 403，用户/日志不可见）✅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API Key：默认 tms.* 可读写；受限 perms 只读；吊销后立即失效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密码 SHA-256 存储；API Key 仅明文返回一次 ✅</w:t>
      </w:r>
    </w:p>
    <w:p>
      <w:pPr>
        <w:pStyle w:val="Heading1"/>
      </w:pPr>
      <w:r>
        <w:t>5. 已知事项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演示数据口径：金额字段单位为「分」，前端按分展示（对接方注意换算）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SQLite 单机部署适用于中小规模（日均千单级）；更大规模建议切换 PostgreSQL（数据层已隔离，替换成本低）</w:t>
      </w:r>
    </w:p>
    <w:p>
      <w:pPr>
        <w:pStyle w:val="Heading1"/>
      </w:pPr>
      <w:r>
        <w:t>6. 结论</w:t>
      </w:r>
    </w:p>
    <w:p>
      <w:r>
        <w:rPr>
          <w:rFonts w:ascii="Times New Roman" w:hAnsi="Times New Roman" w:eastAsia="宋体"/>
          <w:b w:val="0"/>
          <w:i w:val="0"/>
          <w:sz w:val="21"/>
        </w:rPr>
        <w:t>三道质量门禁全部通过，满足上线放行条件。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