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运 运 输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建 设 方 案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运单闭环 · 调度跟踪 · 结算零误差 · 零依赖单机可跑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飞运运输管理系统建设项目（FeiYun TMS）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飞运科技 · 物流数字化项目组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放行实施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日期：2026-10-24　分类：企业管理系统</w:t>
      </w:r>
    </w:p>
    <w:p>
      <w:pPr>
        <w:pStyle w:val="Heading1"/>
      </w:pPr>
      <w:r>
        <w:t>1. 项目概述</w:t>
      </w:r>
    </w:p>
    <w:p>
      <w:r>
        <w:rPr>
          <w:rFonts w:ascii="Times New Roman" w:hAnsi="Times New Roman" w:eastAsia="宋体"/>
          <w:b w:val="0"/>
          <w:i w:val="0"/>
          <w:sz w:val="21"/>
        </w:rPr>
        <w:t>飞运运输管理系统（FeiYun TMS）面向中小物流/运输企业，覆盖客户管理、车辆与司机资产、线路、运单全生命周期、调度、在途跟踪、财务结算、油耗、风险预警九大业务域，并提供用户/角色/权限/令牌/API Key/公告/日志/幂等/增量同步等平台能力。</w:t>
      </w:r>
    </w:p>
    <w:p>
      <w:pPr>
        <w:pStyle w:val="Heading2"/>
      </w:pPr>
      <w:r>
        <w:t>1.1 设计原则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零依赖：Python 标准库（http.server + sqlite3），无第三方包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纯函数内核：运价/ETA/油耗/结算/风险等计算与 IO 解耦，可独立单测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统一响应包：{"code": 200, "message": "ok", "data": {...}}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Decimal 精确：金额一律 quantize 到分（ROUND_HALF_UP）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对外友好：五通道鉴权、幂等键、增量同步、CSV 导出、OpenAPI 风格 API 文档</w:t>
      </w:r>
    </w:p>
    <w:p>
      <w:pPr>
        <w:pStyle w:val="Heading2"/>
      </w:pPr>
      <w:r>
        <w:t>1.2 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技术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Python 3.8+ 标准库，ThreadingHTTPServer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SQLite（WAL 模式）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前端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原生 HTML/CSS/JS 单页应用（SPA），橙色主题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systemd + nginx 反向代理 /tms/ → 127.0.0.1:8026</w:t>
            </w:r>
          </w:p>
        </w:tc>
      </w:tr>
    </w:tbl>
    <w:p>
      <w:pPr>
        <w:spacing w:after="0"/>
      </w:pPr>
    </w:p>
    <w:p>
      <w:pPr>
        <w:pStyle w:val="Heading1"/>
      </w:pPr>
      <w:r>
        <w:t>2. 业务域设计</w:t>
      </w:r>
    </w:p>
    <w:p>
      <w:pPr>
        <w:pStyle w:val="Heading2"/>
      </w:pPr>
      <w:r>
        <w:t>2.1 客户（customers）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托运人/收货人档案：编码、名称、联系人、电话、地址、结算方式（月结/现结）、信用额度、欠款。信用额度用于风险预警。</w:t>
      </w:r>
    </w:p>
    <w:p>
      <w:pPr>
        <w:pStyle w:val="Heading2"/>
      </w:pPr>
      <w:r>
        <w:t>2.2 车辆（vehicles）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车牌、车型（4.2m/6.8m/9.6m/13m/17.5m）、载重(kg)、容积(m³)、状态（空闲/在途/维保/停用）、里程、下次维保日期、保险到期日。</w:t>
      </w:r>
    </w:p>
    <w:p>
      <w:pPr>
        <w:pStyle w:val="Heading2"/>
      </w:pPr>
      <w:r>
        <w:t>2.3 司机（drivers）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姓名、手机、驾照号、驾照类型（A2/B2/C1）、驾照到期日、状态（空闲/在途/休假/离职）、累计运单数、累计里程。</w:t>
      </w:r>
    </w:p>
    <w:p>
      <w:pPr>
        <w:pStyle w:val="Heading2"/>
      </w:pPr>
      <w:r>
        <w:t>2.4 线路（routes）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起点、终点、标准里程(km)、标准时长(小时)、基础运价（元/km）。</w:t>
      </w:r>
    </w:p>
    <w:p>
      <w:pPr>
        <w:pStyle w:val="Heading2"/>
      </w:pPr>
      <w:r>
        <w:t>2.5 运单（waybills）—— 核心实体</w:t>
      </w:r>
    </w:p>
    <w:p>
      <w:r>
        <w:rPr>
          <w:rFonts w:ascii="Times New Roman" w:hAnsi="Times New Roman" w:eastAsia="宋体"/>
          <w:b w:val="0"/>
          <w:i w:val="0"/>
          <w:sz w:val="21"/>
        </w:rPr>
        <w:t>状态机：待调度(pending) → 运输中(in_transit) → 已签收(delivered)，另有 已取消(cancelled)。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字段：运单号、客户、线路、货物名称/重量(kg)/体积(m³)、单价模式（按重/按方/按趟）、报价、实际里程、签收时间、签收人、备注。</w:t>
      </w:r>
    </w:p>
    <w:p>
      <w:pPr>
        <w:pStyle w:val="Heading2"/>
      </w:pPr>
      <w:r>
        <w:t>2.6 调度（dispatch）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运单绑定车辆+司机，一次调度一条记录：调度时间、发车时间、预计到达(ETA)、实际到达。同一运单可改派（旧记录标 replaced）。</w:t>
      </w:r>
    </w:p>
    <w:p>
      <w:pPr>
        <w:pStyle w:val="Heading2"/>
      </w:pPr>
      <w:r>
        <w:t>2.7 跟踪（tracking）</w:t>
      </w:r>
    </w:p>
    <w:p>
      <w:r>
        <w:rPr>
          <w:rFonts w:ascii="Times New Roman" w:hAnsi="Times New Roman" w:eastAsia="宋体"/>
          <w:b w:val="0"/>
          <w:i w:val="0"/>
          <w:sz w:val="21"/>
        </w:rPr>
        <w:t>GPS 点位流：运单号、时间、经度、纬度、位置描述、事件（发车/到达服务区/异常/到达）。</w:t>
      </w:r>
    </w:p>
    <w:p>
      <w:pPr>
        <w:pStyle w:val="Heading2"/>
      </w:pPr>
      <w:r>
        <w:t>2.8 结算（settlements）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应收（客户）、应付（司机）、毛利三段拆分：运费收入、油耗成本、过路费、其他成本；状态（待结/已结）。金额 Decimal 精确到分。</w:t>
      </w:r>
    </w:p>
    <w:p>
      <w:pPr>
        <w:pStyle w:val="Heading2"/>
      </w:pPr>
      <w:r>
        <w:t>2.9 油耗（fuel）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车辆加油记录：日期、升数、单价、金额、当前里程表读数 → 计算百公里油耗。</w:t>
      </w:r>
    </w:p>
    <w:p>
      <w:pPr>
        <w:pStyle w:val="Heading2"/>
      </w:pPr>
      <w:r>
        <w:t>2.10 风险预警（risks）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四类规则：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运单逾期未达（超 ETA 未签收）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车辆维保/保险到期（30 天内）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司机驾照到期（30 天内）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客户欠款超信用额度 80%</w:t>
      </w:r>
    </w:p>
    <w:p>
      <w:pPr>
        <w:pStyle w:val="Heading1"/>
      </w:pPr>
      <w:r>
        <w:t>3. 计算内核（tms.py 纯函数）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函数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freight_price(mode, weight_kg, volume_m3, distance_km, base_rate)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按重（元/吨km×0.001）、按方、按趟三种模式，Decimal 到分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eta_hours(distance_km, avg_speed=60, rest_every=4, rest_hours=0.5)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 4 小时强制休息 0.5h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fuel_cost(distance_km, per_100km_l, price_per_l)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Decimal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load_ratio(weight, cap_w, volume, cap_v)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装载率 = max(重载率, 方载率)，封顶 100%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settlement_split(revenue, fuel, tolls, other)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应收/应付司机(60%)/毛利，Decimal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overdue_check(eta_ts, delivered_ts)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逾期判定与逾期小时数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waybill_risk(overdue_h, load_ratio, client_overdue_ratio)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风险评分 0-100 分档：≥60险 ≥35警 &gt;0提 0正常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hundred_km_fuel(liters, km)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百公里油耗，km&lt;50 返回 None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validate_waybill / validate_vehicle / validate_driver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实体校验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ROLE_PERMS / has_perm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六角色权限（admin/dispatcher/ops/finance/driver_captain/reader），通配与前缀规则</w:t>
            </w:r>
          </w:p>
        </w:tc>
      </w:tr>
    </w:tbl>
    <w:p>
      <w:pPr>
        <w:spacing w:after="0"/>
      </w:pPr>
    </w:p>
    <w:p>
      <w:pPr>
        <w:pStyle w:val="Heading1"/>
      </w:pPr>
      <w:r>
        <w:t>4. 数据库设计（21 表 + 索引）</w:t>
      </w:r>
    </w:p>
    <w:p>
      <w:r>
        <w:rPr>
          <w:rFonts w:ascii="Times New Roman" w:hAnsi="Times New Roman" w:eastAsia="宋体"/>
          <w:b w:val="0"/>
          <w:i w:val="0"/>
          <w:sz w:val="21"/>
        </w:rPr>
        <w:t>customers, vehicles, drivers, routes, waybills, dispatches, trackings, settlements, fuel, risks, policies, notices, users, tokens, api_keys, logs, idem_keys, sync_state, tms_rules, sessions_meta, seq（编号序列）。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关键索引：waybills(status)、waybills(customer_id)、dispatches(waybill_id)、trackings(waybill_id, ts)、settlements(waybill_id)、fuel(vehicle_id, date)、logs(ts)。</w:t>
      </w:r>
    </w:p>
    <w:p>
      <w:pPr>
        <w:pStyle w:val="Heading1"/>
      </w:pPr>
      <w:r>
        <w:t>5. 安全与集成能力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鉴权五通道：Authorization: Bearer / X-Token / Cookie / ?token= / X-Api-Key（SHA-256 存储）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权限模型：* 超级、tms.* 前缀、写含读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幂等：Idempotency-Key 头，结果落 idem_keys 表，24h 复用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增量同步：GET /api/sync?since=&lt;version&gt;&amp;entities=waybills,trackings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审计日志：登录、写操作全量落 logs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CSV 导出：UTF-8 BOM，Excel 直开</w:t>
      </w:r>
    </w:p>
    <w:p>
      <w:pPr>
        <w:pStyle w:val="Heading1"/>
      </w:pPr>
      <w:r>
        <w:t>6. 部署方案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服务：systemd 单元 feiyun-tms，TMS_PORT=8026 TMS_DB=/opt/feiyun-tms/data/feiyun.db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nginx：location /tms/ { proxy_pass http://127.0.0.1:8026/; }（剥前缀，后端 PREFIX 留空）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前端 PREFIX 由 location.pathname 自动推导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GitHub：dukema81/feiyun-tms</w:t>
      </w:r>
    </w:p>
    <w:p>
      <w:pPr>
        <w:pStyle w:val="Heading1"/>
      </w:pPr>
      <w:r>
        <w:t>7. 质量门禁</w:t>
      </w:r>
    </w:p>
    <w:p>
      <w:r>
        <w:rPr>
          <w:rFonts w:ascii="Times New Roman" w:hAnsi="Times New Roman" w:eastAsia="宋体"/>
          <w:b w:val="0"/>
          <w:i w:val="0"/>
          <w:sz w:val="21"/>
        </w:rPr>
        <w:t>1. pytest 单测（内核 + API）≥ 45 例全绿</w:t>
      </w:r>
    </w:p>
    <w:p>
      <w:r>
        <w:rPr>
          <w:rFonts w:ascii="Times New Roman" w:hAnsi="Times New Roman" w:eastAsia="宋体"/>
          <w:b w:val="0"/>
          <w:i w:val="0"/>
          <w:sz w:val="21"/>
        </w:rPr>
        <w:t>2. Playwright UI 巡检（登录 + 全部页面）全绿</w:t>
      </w:r>
    </w:p>
    <w:p>
      <w:r>
        <w:rPr>
          <w:rFonts w:ascii="Times New Roman" w:hAnsi="Times New Roman" w:eastAsia="宋体"/>
          <w:b w:val="0"/>
          <w:i w:val="0"/>
          <w:sz w:val="21"/>
        </w:rPr>
        <w:t>3. 冒烟测试（本地 + 线上）全绿</w:t>
      </w:r>
    </w:p>
    <w:p>
      <w:r>
        <w:rPr>
          <w:rFonts w:ascii="Times New Roman" w:hAnsi="Times New Roman" w:eastAsia="宋体"/>
          <w:b w:val="0"/>
          <w:i w:val="0"/>
          <w:sz w:val="21"/>
        </w:rPr>
        <w:t>4. DEMO 单文件快照 ≥ 30 路径有数据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