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BananaGig | Production Engineering Governance</w:t>
      </w:r>
    </w:p>
    <w:p>
      <w:pPr>
        <w:pStyle w:val="Subtitle"/>
      </w:pPr>
      <w:r>
        <w:t>Implementation Standard • Claude Code Controls • Release Readiness</w:t>
      </w:r>
    </w:p>
    <w:p>
      <w:r>
        <w:t>Version 1.0  |  18 October 2026  |  Scope: existing and future customer, provider, payments, BananaDrops, operations and admin services</w:t>
      </w:r>
    </w:p>
    <w:p>
      <w:pPr>
        <w:pStyle w:val="Heading1"/>
      </w:pPr>
      <w:r>
        <w:t>Executive policy</w:t>
      </w:r>
    </w:p>
    <w:p>
      <w:r>
        <w:t>No code is considered production-ready solely because Claude generated it or a feature appears to work. All changes must satisfy deterministic quality gates, risk-based review, safe rollout and evidence-backed completion. The goal is failure prevention, containment and recovery—not an impossible promise of zero crashes.</w:t>
      </w:r>
    </w:p>
    <w:p>
      <w:pPr>
        <w:pStyle w:val="Heading1"/>
      </w:pPr>
      <w:r>
        <w:t>1. Core safeguards</w:t>
      </w:r>
    </w:p>
    <w:tbl>
      <w:tblPr>
        <w:tblStyle w:val="LightShading-Accent1"/>
        <w:tblW w:type="auto" w:w="0"/>
        <w:tblLook w:firstColumn="1" w:firstRow="1" w:lastColumn="0" w:lastRow="0" w:noHBand="0" w:noVBand="1" w:val="04A0"/>
      </w:tblPr>
      <w:tblGrid>
        <w:gridCol w:w="4896"/>
        <w:gridCol w:w="4896"/>
      </w:tblGrid>
      <w:tr>
        <w:tc>
          <w:tcPr>
            <w:tcW w:type="dxa" w:w="4896"/>
          </w:tcPr>
          <w:p>
            <w:r>
              <w:t>Control</w:t>
            </w:r>
          </w:p>
        </w:tc>
        <w:tc>
          <w:tcPr>
            <w:tcW w:type="dxa" w:w="4896"/>
          </w:tcPr>
          <w:p>
            <w:r>
              <w:t>Standard</w:t>
            </w:r>
          </w:p>
        </w:tc>
      </w:tr>
      <w:tr>
        <w:tc>
          <w:tcPr>
            <w:tcW w:type="dxa" w:w="4896"/>
          </w:tcPr>
          <w:p>
            <w:r>
              <w:t>Source of truth</w:t>
            </w:r>
          </w:p>
        </w:tc>
        <w:tc>
          <w:tcPr>
            <w:tcW w:type="dxa" w:w="4896"/>
          </w:tcPr>
          <w:p>
            <w:r>
              <w:t>Version-controlled requirements, architecture decisions, contracts and tests.</w:t>
            </w:r>
          </w:p>
        </w:tc>
      </w:tr>
      <w:tr>
        <w:tc>
          <w:tcPr>
            <w:tcW w:type="dxa" w:w="4896"/>
          </w:tcPr>
          <w:p>
            <w:r>
              <w:t>No permanent temporary fixes</w:t>
            </w:r>
          </w:p>
        </w:tc>
        <w:tc>
          <w:tcPr>
            <w:tcW w:type="dxa" w:w="4896"/>
          </w:tcPr>
          <w:p>
            <w:r>
              <w:t>Mitigations must have approval, ticket, owner, expiry, removal plan and controlled flag where applicable.</w:t>
            </w:r>
          </w:p>
        </w:tc>
      </w:tr>
      <w:tr>
        <w:tc>
          <w:tcPr>
            <w:tcW w:type="dxa" w:w="4896"/>
          </w:tcPr>
          <w:p>
            <w:r>
              <w:t>Change isolation</w:t>
            </w:r>
          </w:p>
        </w:tc>
        <w:tc>
          <w:tcPr>
            <w:tcW w:type="dxa" w:w="4896"/>
          </w:tcPr>
          <w:p>
            <w:r>
              <w:t>Feature branch, minimal scope, reviewed diff, PR and protected main branch.</w:t>
            </w:r>
          </w:p>
        </w:tc>
      </w:tr>
      <w:tr>
        <w:tc>
          <w:tcPr>
            <w:tcW w:type="dxa" w:w="4896"/>
          </w:tcPr>
          <w:p>
            <w:r>
              <w:t>Quality gates</w:t>
            </w:r>
          </w:p>
        </w:tc>
        <w:tc>
          <w:tcPr>
            <w:tcW w:type="dxa" w:w="4896"/>
          </w:tcPr>
          <w:p>
            <w:r>
              <w:t>Lint, formatting, strict typecheck, unit/integration/E2E, security and production build.</w:t>
            </w:r>
          </w:p>
        </w:tc>
      </w:tr>
      <w:tr>
        <w:tc>
          <w:tcPr>
            <w:tcW w:type="dxa" w:w="4896"/>
          </w:tcPr>
          <w:p>
            <w:r>
              <w:t>Runtime resilience</w:t>
            </w:r>
          </w:p>
        </w:tc>
        <w:tc>
          <w:tcPr>
            <w:tcW w:type="dxa" w:w="4896"/>
          </w:tcPr>
          <w:p>
            <w:r>
              <w:t>Bounded retries, timeouts, idempotency, transactions, recovery and observability.</w:t>
            </w:r>
          </w:p>
        </w:tc>
      </w:tr>
      <w:tr>
        <w:tc>
          <w:tcPr>
            <w:tcW w:type="dxa" w:w="4896"/>
          </w:tcPr>
          <w:p>
            <w:r>
              <w:t>Data safety</w:t>
            </w:r>
          </w:p>
        </w:tc>
        <w:tc>
          <w:tcPr>
            <w:tcW w:type="dxa" w:w="4896"/>
          </w:tcPr>
          <w:p>
            <w:r>
              <w:t>Expand/contract migrations, verified backups, concurrency controls and rollback/roll-forward.</w:t>
            </w:r>
          </w:p>
        </w:tc>
      </w:tr>
      <w:tr>
        <w:tc>
          <w:tcPr>
            <w:tcW w:type="dxa" w:w="4896"/>
          </w:tcPr>
          <w:p>
            <w:r>
              <w:t>Release control</w:t>
            </w:r>
          </w:p>
        </w:tc>
        <w:tc>
          <w:tcPr>
            <w:tcW w:type="dxa" w:w="4896"/>
          </w:tcPr>
          <w:p>
            <w:r>
              <w:t>Staging, deployment approval, staged rollout, health checks and recovery rehearsal.</w:t>
            </w:r>
          </w:p>
        </w:tc>
      </w:tr>
    </w:tbl>
    <w:p>
      <w:pPr>
        <w:pStyle w:val="Heading1"/>
      </w:pPr>
      <w:r>
        <w:t>2. Scope and risk classification</w:t>
      </w:r>
    </w:p>
    <w:p>
      <w:pPr>
        <w:pStyle w:val="ListBullet"/>
      </w:pPr>
      <w:r>
        <w:t>P0 critical: Stripe money movement/webhooks/refunds; BananaDrops pricing and protection; booking capacity/concurrency; identity, authorization and sensitive-data exposure. Require independent review and dedicated failure tests.</w:t>
      </w:r>
    </w:p>
    <w:p>
      <w:pPr>
        <w:pStyle w:val="ListBullet"/>
      </w:pPr>
      <w:r>
        <w:t>P1 high: provider availability, dispatch/location, cancellation workflows, user notifications, data migrations. Require integration tests and rollout plan.</w:t>
      </w:r>
    </w:p>
    <w:p>
      <w:pPr>
        <w:pStyle w:val="ListBullet"/>
      </w:pPr>
      <w:r>
        <w:t>P2 standard: visual styling, static content, isolated noncritical UX. Require baseline checks and regression review.</w:t>
      </w:r>
    </w:p>
    <w:p>
      <w:pPr>
        <w:pStyle w:val="ListBullet"/>
      </w:pPr>
      <w:r>
        <w:t>Escalate risk when a change spans multiple services, changes public API or database contracts, or affects users already booked.</w:t>
      </w:r>
    </w:p>
    <w:p>
      <w:pPr>
        <w:pStyle w:val="Heading1"/>
      </w:pPr>
      <w:r>
        <w:t>3. Temporary mitigation register</w:t>
      </w:r>
    </w:p>
    <w:p>
      <w:r>
        <w:t>Every approved mitigation must record: ID, issue link, root cause, customer risk, owner, approver, introduction date, expiry/review date, removal condition, protective feature flag/configuration, tests and monitoring. Default: reject unregistered mitigations. A production incident exception requires explicit authorization and post-incident corrective work.</w:t>
      </w:r>
    </w:p>
    <w:p>
      <w:pPr>
        <w:pStyle w:val="Heading1"/>
      </w:pPr>
      <w:r>
        <w:t>4. Claude Code configuration model</w:t>
      </w:r>
    </w:p>
    <w:p>
      <w:pPr>
        <w:pStyle w:val="ListBullet"/>
      </w:pPr>
      <w:r>
        <w:t>CLAUDE.md: concise mandatory behavioral and architectural rules; detailed playbooks in docs/engineering or .claude/skills.</w:t>
      </w:r>
    </w:p>
    <w:p>
      <w:pPr>
        <w:pStyle w:val="ListBullet"/>
      </w:pPr>
      <w:r>
        <w:t>Permissions and PreToolUse hooks: guard risky operations, protected paths and command execution. Hook scripts must parse structured inputs and be tested; simple grep is insufficient.</w:t>
      </w:r>
    </w:p>
    <w:p>
      <w:pPr>
        <w:pStyle w:val="ListBullet"/>
      </w:pPr>
      <w:r>
        <w:t>PostToolUse / Stop hooks: reminders and verification evidence; do not mistake these for independent release enforcement.</w:t>
      </w:r>
    </w:p>
    <w:p>
      <w:pPr>
        <w:pStyle w:val="ListBullet"/>
      </w:pPr>
      <w:r>
        <w:t>CI + GitHub rulesets: enforce check status, review and branch protection independently of Claude.</w:t>
      </w:r>
    </w:p>
    <w:p>
      <w:pPr>
        <w:pStyle w:val="ListBullet"/>
      </w:pPr>
      <w:r>
        <w:t>Production credentials and deploy permissions: separate from local coding agent permissions; least privilege.</w:t>
      </w:r>
    </w:p>
    <w:p>
      <w:pPr>
        <w:pStyle w:val="Heading1"/>
      </w:pPr>
      <w:r>
        <w:t>5. Minimum verification matrix</w:t>
      </w:r>
    </w:p>
    <w:tbl>
      <w:tblPr>
        <w:tblStyle w:val="LightShading-Accent1"/>
        <w:tblW w:type="auto" w:w="0"/>
        <w:tblLook w:firstColumn="1" w:firstRow="1" w:lastColumn="0" w:lastRow="0" w:noHBand="0" w:noVBand="1" w:val="04A0"/>
      </w:tblPr>
      <w:tblGrid>
        <w:gridCol w:w="4896"/>
        <w:gridCol w:w="4896"/>
      </w:tblGrid>
      <w:tr>
        <w:tc>
          <w:tcPr>
            <w:tcW w:type="dxa" w:w="4896"/>
          </w:tcPr>
          <w:p>
            <w:r>
              <w:t>Applies to</w:t>
            </w:r>
          </w:p>
        </w:tc>
        <w:tc>
          <w:tcPr>
            <w:tcW w:type="dxa" w:w="4896"/>
          </w:tcPr>
          <w:p>
            <w:r>
              <w:t>Required evidence</w:t>
            </w:r>
          </w:p>
        </w:tc>
      </w:tr>
      <w:tr>
        <w:tc>
          <w:tcPr>
            <w:tcW w:type="dxa" w:w="4896"/>
          </w:tcPr>
          <w:p>
            <w:r>
              <w:t>Every change</w:t>
            </w:r>
          </w:p>
        </w:tc>
        <w:tc>
          <w:tcPr>
            <w:tcW w:type="dxa" w:w="4896"/>
          </w:tcPr>
          <w:p>
            <w:r>
              <w:t>Diff review; formatter; lint; typecheck; relevant tests; secrets scan; production build.</w:t>
            </w:r>
          </w:p>
        </w:tc>
      </w:tr>
      <w:tr>
        <w:tc>
          <w:tcPr>
            <w:tcW w:type="dxa" w:w="4896"/>
          </w:tcPr>
          <w:p>
            <w:r>
              <w:t>API / domain</w:t>
            </w:r>
          </w:p>
        </w:tc>
        <w:tc>
          <w:tcPr>
            <w:tcW w:type="dxa" w:w="4896"/>
          </w:tcPr>
          <w:p>
            <w:r>
              <w:t>Input validation; authN/authZ; compatibility; negative and integration tests.</w:t>
            </w:r>
          </w:p>
        </w:tc>
      </w:tr>
      <w:tr>
        <w:tc>
          <w:tcPr>
            <w:tcW w:type="dxa" w:w="4896"/>
          </w:tcPr>
          <w:p>
            <w:r>
              <w:t>Database</w:t>
            </w:r>
          </w:p>
        </w:tc>
        <w:tc>
          <w:tcPr>
            <w:tcW w:type="dxa" w:w="4896"/>
          </w:tcPr>
          <w:p>
            <w:r>
              <w:t>Forward migration; backward-compatibility window; backup/recovery and concurrency checks.</w:t>
            </w:r>
          </w:p>
        </w:tc>
      </w:tr>
      <w:tr>
        <w:tc>
          <w:tcPr>
            <w:tcW w:type="dxa" w:w="4896"/>
          </w:tcPr>
          <w:p>
            <w:r>
              <w:t>Payments</w:t>
            </w:r>
          </w:p>
        </w:tc>
        <w:tc>
          <w:tcPr>
            <w:tcW w:type="dxa" w:w="4896"/>
          </w:tcPr>
          <w:p>
            <w:r>
              <w:t>Duplicate/out-of-order webhooks; ledger reconciliation; retry/idempotency; refund tests.</w:t>
            </w:r>
          </w:p>
        </w:tc>
      </w:tr>
      <w:tr>
        <w:tc>
          <w:tcPr>
            <w:tcW w:type="dxa" w:w="4896"/>
          </w:tcPr>
          <w:p>
            <w:r>
              <w:t>BananaDrops</w:t>
            </w:r>
          </w:p>
        </w:tc>
        <w:tc>
          <w:tcPr>
            <w:tcW w:type="dxa" w:w="4896"/>
          </w:tcPr>
          <w:p>
            <w:r>
              <w:t>Concurrent enrollment; price-tier boundary; price floors; snapshot version; protection and audit trail.</w:t>
            </w:r>
          </w:p>
        </w:tc>
      </w:tr>
      <w:tr>
        <w:tc>
          <w:tcPr>
            <w:tcW w:type="dxa" w:w="4896"/>
          </w:tcPr>
          <w:p>
            <w:r>
              <w:t>Critical runtime</w:t>
            </w:r>
          </w:p>
        </w:tc>
        <w:tc>
          <w:tcPr>
            <w:tcW w:type="dxa" w:w="4896"/>
          </w:tcPr>
          <w:p>
            <w:r>
              <w:t>Dependency failure; timeout; worker restart; partial failure; queue saturation; structured alerts.</w:t>
            </w:r>
          </w:p>
        </w:tc>
      </w:tr>
      <w:tr>
        <w:tc>
          <w:tcPr>
            <w:tcW w:type="dxa" w:w="4896"/>
          </w:tcPr>
          <w:p>
            <w:r>
              <w:t>Release</w:t>
            </w:r>
          </w:p>
        </w:tc>
        <w:tc>
          <w:tcPr>
            <w:tcW w:type="dxa" w:w="4896"/>
          </w:tcPr>
          <w:p>
            <w:r>
              <w:t>Staging smoke test; canary/gradual rollout; rollback or roll-forward plan; owner sign-off.</w:t>
            </w:r>
          </w:p>
        </w:tc>
      </w:tr>
    </w:tbl>
    <w:p>
      <w:pPr>
        <w:pStyle w:val="Heading1"/>
      </w:pPr>
      <w:r>
        <w:t>6. Change workflow and definition of done</w:t>
      </w:r>
    </w:p>
    <w:p>
      <w:pPr>
        <w:pStyle w:val="Heading2"/>
      </w:pPr>
      <w:r>
        <w:t>Discover</w:t>
      </w:r>
    </w:p>
    <w:p>
      <w:r>
        <w:t>Inspect repo, tests, running services and constraints; baseline git status. Never assume a particular script or directory exists.</w:t>
      </w:r>
    </w:p>
    <w:p>
      <w:pPr>
        <w:pStyle w:val="Heading2"/>
      </w:pPr>
      <w:r>
        <w:t>Plan</w:t>
      </w:r>
    </w:p>
    <w:p>
      <w:r>
        <w:t>Document root cause/requirements, impacted contracts, risk rating, test plan, rollout and recovery.</w:t>
      </w:r>
    </w:p>
    <w:p>
      <w:pPr>
        <w:pStyle w:val="Heading2"/>
      </w:pPr>
      <w:r>
        <w:t>Implement</w:t>
      </w:r>
    </w:p>
    <w:p>
      <w:r>
        <w:t>Work on branch with narrowly scoped, readable, typed changes; do not bypass controls.</w:t>
      </w:r>
    </w:p>
    <w:p>
      <w:pPr>
        <w:pStyle w:val="Heading2"/>
      </w:pPr>
      <w:r>
        <w:t>Verify</w:t>
      </w:r>
    </w:p>
    <w:p>
      <w:r>
        <w:t>Run repository-native commands and record command, exit code and pass/fail output. Separate not-run from passed.</w:t>
      </w:r>
    </w:p>
    <w:p>
      <w:pPr>
        <w:pStyle w:val="Heading2"/>
      </w:pPr>
      <w:r>
        <w:t>Review</w:t>
      </w:r>
    </w:p>
    <w:p>
      <w:r>
        <w:t>Examine diff, security/data impact, CI, reviewer feedback and temporary mitigation register.</w:t>
      </w:r>
    </w:p>
    <w:p>
      <w:pPr>
        <w:pStyle w:val="Heading2"/>
      </w:pPr>
      <w:r>
        <w:t>Release</w:t>
      </w:r>
    </w:p>
    <w:p>
      <w:r>
        <w:t>Merge only after required checks and approval; stage deployment, observe and maintain rollback readiness.</w:t>
      </w:r>
    </w:p>
    <w:p>
      <w:r>
        <w:t>Completion statuses: READY FOR REVIEW = local evidence satisfactory, no merge; RELEASE CANDIDATE = CI/review/staging passed; PRODUCTION VERIFIED = rollout and post-release checks complete. If evidence is missing, report BLOCKED or NOT READY.</w:t>
      </w:r>
    </w:p>
    <w:p>
      <w:pPr>
        <w:pStyle w:val="Heading1"/>
      </w:pPr>
      <w:r>
        <w:t>7. Immediate adoption plan</w:t>
      </w:r>
    </w:p>
    <w:p>
      <w:pPr>
        <w:pStyle w:val="ListBullet"/>
      </w:pPr>
      <w:r>
        <w:t>Checkpoint A — Non-destructive audit of existing code, tests, Claude settings, CI and operational risks.</w:t>
      </w:r>
    </w:p>
    <w:p>
      <w:pPr>
        <w:pStyle w:val="ListBullet"/>
      </w:pPr>
      <w:r>
        <w:t>Checkpoint B — Write constitution, review rubric and temporary-fix register; introduce policy gates in advisory mode and tune false positives.</w:t>
      </w:r>
    </w:p>
    <w:p>
      <w:pPr>
        <w:pStyle w:val="ListBullet"/>
      </w:pPr>
      <w:r>
        <w:t>Checkpoint C — Enforce CI, branch protection and high-risk service regression tests; prove gates fail intentionally on isolated negative fixtures.</w:t>
      </w:r>
    </w:p>
    <w:p>
      <w:pPr>
        <w:pStyle w:val="ListBullet"/>
      </w:pPr>
      <w:r>
        <w:t>Checkpoint D — Hardening: fault injection, replay tests, staged rollout, monitoring and incident drills.</w:t>
      </w:r>
    </w:p>
    <w:p>
      <w:pPr>
        <w:pStyle w:val="ListBullet"/>
      </w:pPr>
      <w:r>
        <w:t>Checkpoint E — Repeat risk audit at each milestone and revisit aged mitigations monthly.</w:t>
      </w:r>
    </w:p>
    <w:p>
      <w:pPr>
        <w:pStyle w:val="Heading1"/>
      </w:pPr>
      <w:r>
        <w:t>8. Operational limits and ownership</w:t>
      </w:r>
    </w:p>
    <w:p>
      <w:r>
        <w:t>This document is a policy template—not evidence that BananaGig currently passes the gates. Claude must not claim settings, checks, GitHub protections or production deployment have been configured until verified in the actual repository and accounts. Human owners retain authority for production changes, credentials and emergency exceptions.</w:t>
      </w:r>
    </w:p>
    <w:p>
      <w:pPr>
        <w:pStyle w:val="Heading1"/>
      </w:pPr>
      <w:r>
        <w:t>Useful official references</w:t>
      </w:r>
    </w:p>
    <w:p>
      <w:r>
        <w:t>Claude Code documentation: https://code.claude.com/docs/en/overview  |  GitHub rulesets: https://docs.github.com/en/repositories/configuring-branches-and-merges-in-your-repository/managing-rulesets/available-rules-for-rulesets</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BananaGig • Internal engineering standard • Controlled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324D"/>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8324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8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