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Content-Moderation Classification for Image and Video:</w:t>
      </w:r>
    </w:p>
    <w:p>
      <w:pPr>
        <w:jc w:val="center"/>
      </w:pPr>
      <w:r>
        <w:rPr>
          <w:b/>
          <w:sz w:val="40"/>
        </w:rPr>
        <w:t>A Multi-Label Frame- and Video-Level Screening System</w:t>
      </w:r>
    </w:p>
    <w:p>
      <w:pPr>
        <w:jc w:val="center"/>
      </w:pPr>
      <w:r>
        <w:rPr>
          <w:i/>
        </w:rPr>
        <w:br/>
        <w:t>Technical Report</w:t>
        <w:br/>
      </w:r>
      <w:r>
        <w:t>July 2026</w:t>
        <w:br/>
      </w:r>
    </w:p>
    <w:p>
      <w:r>
        <w:br w:type="page"/>
      </w:r>
    </w:p>
    <w:p>
      <w:pPr>
        <w:pStyle w:val="Heading1"/>
      </w:pPr>
      <w:r>
        <w:t>Abstract</w:t>
      </w:r>
    </w:p>
    <w:p>
      <w:r>
        <w:rPr>
          <w:b w:val="0"/>
          <w:i w:val="0"/>
        </w:rPr>
        <w:t>This report documents the design, implementation, and evaluation of an automated content-moderation classification system built to detect adult and sexually explicit content in still images and video. The system is organized around two complementary tasks: an image/frame-level screening task, which performs multi-label classification over 16 content categories, and a video-level screening task, which derives an overall accept/reject decision for a video by aggregating per-frame predictions across a sliding window. The classification model is built around a vision-transformer backbone paired with a multi-scale spatial feature adapter and a sigmoid multi-label classification head. Two backbone candidates were evaluated under otherwise identical conditions: a self-supervised, large-scale-pretrained vision transformer, and a lightweight vision transformer trained from a smaller-scale supervised initialization. We describe the end-to-end data pipeline (raw collection, automated pre-labeling, human review, and dataset consolidation), the training methodology, and a controlled comparison between the two backbones on both the frame-level benchmark (878 test images) and the video-level benchmark (70 videos). The self-supervised backbone achieves a macro F1 of 0.898 versus 0.858 for the lightweight backbone at the frame level, and, more importantly, reduces the video-level false-positive rate from 32.4% to 10.8%, at a modest inference-speed cost. We conclude that the self-supervised backbone is the preferred choice for production use, and describe the serving infrastructure — spanning offline/demo inference tools, a sliding-window video pipeline, and a productionized asynchronous job service — through which the system is deployed, along with recommendations for future improvement.</w:t>
      </w:r>
    </w:p>
    <w:p>
      <w:r>
        <w:br w:type="page"/>
      </w:r>
    </w:p>
    <w:p>
      <w:pPr>
        <w:pStyle w:val="Heading1"/>
      </w:pPr>
      <w:r>
        <w:t>Table of Contents</w:t>
      </w:r>
    </w:p>
    <w:p>
      <w:pPr>
        <w:pStyle w:val="ListNumber"/>
      </w:pPr>
      <w:r>
        <w:t>1. Introduction</w:t>
      </w:r>
    </w:p>
    <w:p>
      <w:pPr>
        <w:pStyle w:val="ListNumber"/>
      </w:pPr>
      <w:r>
        <w:t>2. Related Background</w:t>
      </w:r>
    </w:p>
    <w:p>
      <w:pPr>
        <w:pStyle w:val="ListNumber"/>
      </w:pPr>
      <w:r>
        <w:t>3. Data Pipeline</w:t>
      </w:r>
    </w:p>
    <w:p>
      <w:pPr>
        <w:pStyle w:val="ListNumber"/>
      </w:pPr>
      <w:r>
        <w:t>4. Model Architecture</w:t>
      </w:r>
    </w:p>
    <w:p>
      <w:pPr>
        <w:pStyle w:val="ListNumber"/>
      </w:pPr>
      <w:r>
        <w:t>5. Training Methodology</w:t>
      </w:r>
    </w:p>
    <w:p>
      <w:pPr>
        <w:pStyle w:val="ListNumber"/>
      </w:pPr>
      <w:r>
        <w:t>6. Experimental Results</w:t>
      </w:r>
    </w:p>
    <w:p>
      <w:pPr>
        <w:pStyle w:val="ListNumber"/>
      </w:pPr>
      <w:r>
        <w:t>7. Inference and Serving Infrastructure</w:t>
      </w:r>
    </w:p>
    <w:p>
      <w:pPr>
        <w:pStyle w:val="ListNumber"/>
      </w:pPr>
      <w:r>
        <w:t>8. Development Timeline</w:t>
      </w:r>
    </w:p>
    <w:p>
      <w:pPr>
        <w:pStyle w:val="ListNumber"/>
      </w:pPr>
      <w:r>
        <w:t>9. Conclusions and Recommendations</w:t>
      </w:r>
    </w:p>
    <w:p>
      <w:pPr>
        <w:pStyle w:val="ListNumber"/>
      </w:pPr>
      <w:r>
        <w:t>Appendix A: Task and Dataset Reference</w:t>
      </w:r>
    </w:p>
    <w:p>
      <w:pPr>
        <w:pStyle w:val="ListNumber"/>
      </w:pPr>
      <w:r>
        <w:t>Appendix B: Auto-Labeling Category Coverage</w:t>
      </w:r>
    </w:p>
    <w:p>
      <w:pPr>
        <w:pStyle w:val="ListNumber"/>
      </w:pPr>
      <w:r>
        <w:t>Appendix C: Glossary</w:t>
      </w:r>
    </w:p>
    <w:p>
      <w:r>
        <w:rPr>
          <w:b w:val="0"/>
          <w:i/>
        </w:rPr>
        <w:t>(Open in Word and use References → Table of Contents to generate a live, page-numbered index if preferred.)</w:t>
      </w:r>
    </w:p>
    <w:p>
      <w:r>
        <w:br w:type="page"/>
      </w:r>
    </w:p>
    <w:p>
      <w:pPr>
        <w:pStyle w:val="Heading1"/>
      </w:pPr>
      <w:r>
        <w:t>1. Introduction</w:t>
      </w:r>
    </w:p>
    <w:p>
      <w:pPr>
        <w:pStyle w:val="Heading2"/>
      </w:pPr>
      <w:r>
        <w:t>1.1 Problem Statement</w:t>
      </w:r>
    </w:p>
    <w:p>
      <w:r>
        <w:rPr>
          <w:b w:val="0"/>
          <w:i w:val="0"/>
        </w:rPr>
        <w:t>Platforms that host user-generated images and video require automated screening for adult and sexually explicit content in order to comply with policy and legal obligations, and to reduce the burden on human moderators. This project implements such a system for a client operating in the Japanese market, whose source imagery and label taxonomy are partly expressed in Japanese. The target categories span explicit anatomy, sexual acts, depictions of minors, exposed personal data (e.g. visible identification or text), and softer signals such as a suggestive pose or attire.</w:t>
      </w:r>
    </w:p>
    <w:p>
      <w:pPr>
        <w:pStyle w:val="Heading2"/>
      </w:pPr>
      <w:r>
        <w:t>1.2 Task Definitions</w:t>
      </w:r>
    </w:p>
    <w:p>
      <w:pPr>
        <w:pStyle w:val="ListBullet"/>
      </w:pPr>
      <w:r>
        <w:t>Image/frame-level screening: a multi-label classifier that predicts the presence or absence of each of 16 content categories independently for a given image or video frame, via independent per-class probability outputs.</w:t>
      </w:r>
    </w:p>
    <w:p>
      <w:pPr>
        <w:pStyle w:val="ListBullet"/>
      </w:pPr>
      <w:r>
        <w:t>Video-level screening: an overall accept/reject decision for a video. Frames are sampled at a target rate using a sliding window; each frame is scored by the image-level classifier; and a decision rule (currently a maximum-aggregation over per-class confidence thresholds) converts the sequence of frame-level scores into a single video-level verdict.</w:t>
      </w:r>
    </w:p>
    <w:p>
      <w:r>
        <w:rPr>
          <w:b w:val="0"/>
          <w:i w:val="0"/>
        </w:rPr>
        <w:t>An earlier formulation of the same underlying problem — a single-label classifier assigning each image to exactly one of 13 to 18 mutually exclusive classes — also exists and predates the multi-label reformulation; it is retained for reference and discussed in Section 2.3.</w:t>
      </w:r>
    </w:p>
    <w:p>
      <w:pPr>
        <w:pStyle w:val="Heading2"/>
      </w:pPr>
      <w:r>
        <w:t>1.3 Scope of This Report</w:t>
      </w:r>
    </w:p>
    <w:p>
      <w:r>
        <w:rPr>
          <w:b w:val="0"/>
          <w:i w:val="0"/>
        </w:rPr>
        <w:t>This report covers the system's data pipeline, model architecture, training methodology, a controlled experimental comparison of two candidate backbones, and the serving infrastructure through which trained models are deployed. It does not reproduce the training data itself (for confidentiality and content-sensitivity reasons) beyond aggregate statistics and category taxonomies.</w:t>
      </w:r>
    </w:p>
    <w:p>
      <w:pPr>
        <w:pStyle w:val="Heading2"/>
      </w:pPr>
      <w:r>
        <w:t>1.4 Report Roadmap</w:t>
      </w:r>
    </w:p>
    <w:p>
      <w:r>
        <w:rPr>
          <w:b w:val="0"/>
          <w:i w:val="0"/>
        </w:rPr>
        <w:t>Section 2 situates the system relative to its origins in an object-detection framework and motivates the move to multi-label classification. Section 3 describes the data pipeline end to end. Sections 4 and 5 describe the model architecture and training methodology respectively. Section 6 presents the backbone comparison. Section 7 describes the inference and serving layers. Section 8 summarizes the project's development timeline, and Section 9 concludes with recommendations.</w:t>
      </w:r>
    </w:p>
    <w:p>
      <w:pPr>
        <w:pStyle w:val="Heading1"/>
      </w:pPr>
      <w:r>
        <w:t>2. Related Background</w:t>
      </w:r>
    </w:p>
    <w:p>
      <w:pPr>
        <w:pStyle w:val="Heading2"/>
      </w:pPr>
      <w:r>
        <w:t>2.1 Self-Supervised Vision Backbones</w:t>
      </w:r>
    </w:p>
    <w:p>
      <w:r>
        <w:rPr>
          <w:b w:val="0"/>
          <w:i w:val="0"/>
        </w:rPr>
        <w:t>A self-supervised vision transformer, pretrained on a very large uncurated image corpus (on the order of 1.7 billion images) without label supervision, produces general-purpose visual features that transfer well across downstream tasks. The system evaluates such a backbone against a lightweight, from-scratch vision transformer initialized from a smaller-scale supervised pretraining regime, with both backbones paired to an otherwise identical classification head, in order to isolate the effect of pretraining strategy and model capacity on downstream moderation accuracy.</w:t>
      </w:r>
    </w:p>
    <w:p>
      <w:pPr>
        <w:pStyle w:val="Heading2"/>
      </w:pPr>
      <w:r>
        <w:t>2.2 Lineage from an Object-Detection Framework</w:t>
      </w:r>
    </w:p>
    <w:p>
      <w:r>
        <w:rPr>
          <w:b w:val="0"/>
          <w:i w:val="0"/>
        </w:rPr>
        <w:t>The underlying training engine originates from an object-detection framework built around a convolutional backbone, a hybrid feature encoder, and a transformer-based detection decoder with set-based (Hungarian) matching. Rather than build a classification training loop from scratch, this project adapted the detection framework's backbone-wrapping mechanism — including a multi-scale spatial-feature-fusion module that lets a vision-transformer trunk exchange information with a convolutional feature pyramid — into a standalone classification adapter, and reused the framework's configuration system, component registry, optimizer implementations, and checkpointing conventions. The detection-specific model code remains present in the shared codebase but is dormant for the classification tasks described in this report.</w:t>
      </w:r>
    </w:p>
    <w:p>
      <w:pPr>
        <w:pStyle w:val="Heading2"/>
      </w:pPr>
      <w:r>
        <w:t>2.3 Single-Label vs. Multi-Label Classification</w:t>
      </w:r>
    </w:p>
    <w:p>
      <w:r>
        <w:rPr>
          <w:b w:val="0"/>
          <w:i w:val="0"/>
        </w:rPr>
        <w:t>The project's first iteration framed the problem as single-label classification: each image was assigned to exactly one of 13 to 18 mutually exclusive, folder-derived classes (for example, collapsing several related explicit-content classes into a single combined class). This is a natural first approach when ground truth is defined by folder placement, but it cannot represent images with multiple simultaneous attributes — for example, an image that is both suggestive and contains visible text or personal data — which is common in real-world moderation data. The project subsequently moved to a multi-label formulation in which each image carries an independent 16-dimensional binary label vector sourced from human-reviewed annotation exports, trained with independent per-class probability outputs and a binary classification loss rather than a single mutually-exclusive softmax output. Both formulations remain supported as parallel, independently trainable configurations; the multi-label 16-class configuration is the system's primary, currently recommended configuration for image/frame-level screening.</w:t>
      </w:r>
    </w:p>
    <w:p>
      <w:pPr>
        <w:pStyle w:val="Heading1"/>
      </w:pPr>
      <w:r>
        <w:t>3. Data Pipeline</w:t>
      </w:r>
    </w:p>
    <w:p>
      <w:r>
        <w:rPr>
          <w:b w:val="0"/>
          <w:i w:val="0"/>
        </w:rPr>
        <w:t>The dataset pipeline moves data through five stages: raw collection, automated pre-labeling, human review, annotation consolidation, and final dataset materialization. Summary of the flow:</w:t>
      </w:r>
    </w:p>
    <w:p>
      <w:pPr>
        <w:pStyle w:val="ListBullet"/>
      </w:pPr>
      <w:r>
        <w:t>Raw imagery organized by content category, plus zipped source archives</w:t>
      </w:r>
    </w:p>
    <w:p>
      <w:pPr>
        <w:pStyle w:val="ListBullet"/>
      </w:pPr>
      <w:r>
        <w:t>→ automated pre-labeling (a hosted classification service and a hosted nudity-detection service)</w:t>
      </w:r>
    </w:p>
    <w:p>
      <w:pPr>
        <w:pStyle w:val="ListBullet"/>
      </w:pPr>
      <w:r>
        <w:t>→ upload for human review, review, and pull-back of reviewed annotations</w:t>
      </w:r>
    </w:p>
    <w:p>
      <w:pPr>
        <w:pStyle w:val="ListBullet"/>
      </w:pPr>
      <w:r>
        <w:t>→ annotation merge / filtering / co-occurrence cleanup / train-validation-test split</w:t>
      </w:r>
    </w:p>
    <w:p>
      <w:pPr>
        <w:pStyle w:val="ListBullet"/>
      </w:pPr>
      <w:r>
        <w:t>→ materialized image and annotation datasets consumed directly by the training pipeline</w:t>
      </w:r>
    </w:p>
    <w:p>
      <w:pPr>
        <w:pStyle w:val="Heading2"/>
      </w:pPr>
      <w:r>
        <w:t>3.1 Raw Data Collection</w:t>
      </w:r>
    </w:p>
    <w:p>
      <w:r>
        <w:rPr>
          <w:b w:val="0"/>
          <w:i w:val="0"/>
        </w:rPr>
        <w:t>Source imagery is organized into folders by content category (for example, categories corresponding to specific anatomical regions, minors, text, or undergarments), as well as zipped, Japanese-labeled source archives used by the dataset-materialization step described in Section 3.5.</w:t>
      </w:r>
    </w:p>
    <w:p>
      <w:pPr>
        <w:pStyle w:val="Heading2"/>
      </w:pPr>
      <w:r>
        <w:t>3.2 Auto-Labeling</w:t>
      </w:r>
    </w:p>
    <w:p>
      <w:r>
        <w:rPr>
          <w:b w:val="0"/>
          <w:i w:val="0"/>
        </w:rPr>
        <w:t>Two independent automated labeling sources populate initial candidate annotations prior to human review:</w:t>
      </w:r>
    </w:p>
    <w:p>
      <w:pPr>
        <w:pStyle w:val="ListBullet"/>
      </w:pPr>
      <w:r>
        <w:t>A hosted general classification service, invoked per category folder, which writes candidate multi-label annotations (a list of applicable body-part/content choices per image) to a shared annotation format. The tool used to drive this service is resumable and safe to run in parallel across categories.</w:t>
      </w:r>
    </w:p>
    <w:p>
      <w:pPr>
        <w:pStyle w:val="ListBullet"/>
      </w:pPr>
      <w:r>
        <w:t>A hosted nudity-detection service (based on an open-source nudity detector), which writes bounding-box level detections with category name and confidence score, also resumable and streaming.</w:t>
      </w:r>
    </w:p>
    <w:p>
      <w:r>
        <w:rPr>
          <w:b w:val="0"/>
          <w:i w:val="0"/>
        </w:rPr>
        <w:t>These two services are invoked through a set of 23 category-specific automation scripts — 16 for the general classification service and 7 for the nudity-detection service — each supplying a category-appropriate label mapping and default label (see Appendix B for the full category inventory). This runbook structure lets individual raw-data categories be (re-)labeled independently as new source material arrives.</w:t>
      </w:r>
    </w:p>
    <w:p>
      <w:pPr>
        <w:pStyle w:val="Heading2"/>
      </w:pPr>
      <w:r>
        <w:t>3.3 Human-in-the-Loop Review</w:t>
      </w:r>
    </w:p>
    <w:p>
      <w:r>
        <w:rPr>
          <w:b w:val="0"/>
          <w:i w:val="0"/>
        </w:rPr>
        <w:t>Pre-labeled candidates are uploaded to a human annotation review platform as candidate predictions/annotations. Supporting workflow steps include:</w:t>
      </w:r>
    </w:p>
    <w:p>
      <w:pPr>
        <w:pStyle w:val="ListBullet"/>
      </w:pPr>
      <w:r>
        <w:t>Uploading images with their candidate labels, using content-hash comparison to avoid re-uploading duplicates, and recording per-batch task manifests for traceability.</w:t>
      </w:r>
    </w:p>
    <w:p>
      <w:pPr>
        <w:pStyle w:val="ListBullet"/>
      </w:pPr>
      <w:r>
        <w:t>Identifying byte-identical duplicate review tasks already present in a project and retaining the reviewed copy in preference to an unreviewed duplicate (run in a safe, dry-run-first mode).</w:t>
      </w:r>
    </w:p>
    <w:p>
      <w:pPr>
        <w:pStyle w:val="ListBullet"/>
      </w:pPr>
      <w:r>
        <w:t>Removing tasks from a review project by manifest or batch identifier (also dry-run by default).</w:t>
      </w:r>
    </w:p>
    <w:p>
      <w:pPr>
        <w:pStyle w:val="ListBullet"/>
      </w:pPr>
      <w:r>
        <w:t>Pulling human-reviewed annotations back out of the review platform once review is complete, matching each reviewed record back to its original local source file by recorded source path, falling back to filename matching and then content-hash matching, and consolidating the result into a single reviewed annotation set.</w:t>
      </w:r>
    </w:p>
    <w:p>
      <w:pPr>
        <w:pStyle w:val="Heading2"/>
      </w:pPr>
      <w:r>
        <w:t>3.4 Annotation Merging, Filtering, and Splitting</w:t>
      </w:r>
    </w:p>
    <w:p>
      <w:pPr>
        <w:pStyle w:val="ListBullet"/>
      </w:pPr>
      <w:r>
        <w:t>Per-category label records from each auto-labeling run are consolidated into a small number of unified annotation sets.</w:t>
      </w:r>
    </w:p>
    <w:p>
      <w:pPr>
        <w:pStyle w:val="ListBullet"/>
      </w:pPr>
      <w:r>
        <w:t>Unified annotation sets can be restricted to a target category subset for narrower experiments.</w:t>
      </w:r>
    </w:p>
    <w:p>
      <w:pPr>
        <w:pStyle w:val="ListBullet"/>
      </w:pPr>
      <w:r>
        <w:t>Co-occurrence of category pairs (for example, a suggestive-content label co-occurring with a specific anatomical label) is analyzed and, where ambiguous, resolved through an interactive review step.</w:t>
      </w:r>
    </w:p>
    <w:p>
      <w:pPr>
        <w:pStyle w:val="ListBullet"/>
      </w:pPr>
      <w:r>
        <w:t>A validation step cross-checks a reviewed annotation export against the corresponding image collection for consistency before any training run is started.</w:t>
      </w:r>
    </w:p>
    <w:p>
      <w:pPr>
        <w:pStyle w:val="ListBullet"/>
      </w:pPr>
      <w:r>
        <w:t>The cleaned, consolidated annotation set is partitioned into training, validation, and test subsets.</w:t>
      </w:r>
    </w:p>
    <w:p>
      <w:pPr>
        <w:pStyle w:val="Heading2"/>
      </w:pPr>
      <w:r>
        <w:t>3.5 Dataset Materialization</w:t>
      </w:r>
    </w:p>
    <w:p>
      <w:pPr>
        <w:pStyle w:val="ListBullet"/>
      </w:pPr>
      <w:r>
        <w:t>For the single-label formulation, a dedicated builder constructs a folder-per-class image collection (with an 80/10/10 train/validation/test split) from nested source archives, together with a machine-readable label map and file manifests, and is tolerant of inconsistently packed archives.</w:t>
      </w:r>
    </w:p>
    <w:p>
      <w:pPr>
        <w:pStyle w:val="ListBullet"/>
      </w:pPr>
      <w:r>
        <w:t>For the video-screening task's 3-class variant, a separate builder constructs the corresponding folder-per-class image collection, determining ground truth from the folder name recorded inside each source archive entry (since the outer archive's filename is not always reliable), also with an 80/10/10 split.</w:t>
      </w:r>
    </w:p>
    <w:p>
      <w:pPr>
        <w:pStyle w:val="ListBullet"/>
      </w:pPr>
      <w:r>
        <w:t>A further builder constructs a dedicated video test set with English-named category folders and a compact manifest, used for the end-to-end video-level evaluation described in Section 6.3.</w:t>
      </w:r>
    </w:p>
    <w:p>
      <w:pPr>
        <w:pStyle w:val="Heading2"/>
      </w:pPr>
      <w:r>
        <w:t>3.6 Dataset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rPr>
              <w:t>Task / Dataset</w:t>
            </w:r>
          </w:p>
        </w:tc>
        <w:tc>
          <w:tcPr>
            <w:tcW w:type="dxa" w:w="2160"/>
            <w:shd w:val="clear" w:color="auto" w:fill="2F5496"/>
          </w:tcPr>
          <w:p>
            <w:r/>
            <w:r>
              <w:rPr>
                <w:b/>
                <w:color w:val="FFFFFF"/>
              </w:rPr>
              <w:t>Categories</w:t>
            </w:r>
          </w:p>
        </w:tc>
        <w:tc>
          <w:tcPr>
            <w:tcW w:type="dxa" w:w="2160"/>
            <w:shd w:val="clear" w:color="auto" w:fill="2F5496"/>
          </w:tcPr>
          <w:p>
            <w:r/>
            <w:r>
              <w:rPr>
                <w:b/>
                <w:color w:val="FFFFFF"/>
              </w:rPr>
              <w:t>Label source</w:t>
            </w:r>
          </w:p>
        </w:tc>
        <w:tc>
          <w:tcPr>
            <w:tcW w:type="dxa" w:w="2160"/>
            <w:shd w:val="clear" w:color="auto" w:fill="2F5496"/>
          </w:tcPr>
          <w:p>
            <w:r/>
            <w:r>
              <w:rPr>
                <w:b/>
                <w:color w:val="FFFFFF"/>
              </w:rPr>
              <w:t>Notes</w:t>
            </w:r>
          </w:p>
        </w:tc>
      </w:tr>
      <w:tr>
        <w:tc>
          <w:tcPr>
            <w:tcW w:type="dxa" w:w="2160"/>
          </w:tcPr>
          <w:p>
            <w:r>
              <w:t>Image/frame-level screening (multi-label, primary)</w:t>
            </w:r>
          </w:p>
        </w:tc>
        <w:tc>
          <w:tcPr>
            <w:tcW w:type="dxa" w:w="2160"/>
          </w:tcPr>
          <w:p>
            <w:r>
              <w:t>16</w:t>
            </w:r>
          </w:p>
        </w:tc>
        <w:tc>
          <w:tcPr>
            <w:tcW w:type="dxa" w:w="2160"/>
          </w:tcPr>
          <w:p>
            <w:r>
              <w:t>Human-reviewed multi-label annotation export</w:t>
            </w:r>
          </w:p>
        </w:tc>
        <w:tc>
          <w:tcPr>
            <w:tcW w:type="dxa" w:w="2160"/>
          </w:tcPr>
          <w:p>
            <w:r>
              <w:t>Anatomical, minor, comic/illustrated, personal-data, textual, and suggestive-content categories, plus people-count and presence indicators</w:t>
            </w:r>
          </w:p>
        </w:tc>
      </w:tr>
      <w:tr>
        <w:tc>
          <w:tcPr>
            <w:tcW w:type="dxa" w:w="2160"/>
          </w:tcPr>
          <w:p>
            <w:r>
              <w:t>Multi-label subsets</w:t>
            </w:r>
          </w:p>
        </w:tc>
        <w:tc>
          <w:tcPr>
            <w:tcW w:type="dxa" w:w="2160"/>
          </w:tcPr>
          <w:p>
            <w:r>
              <w:t>3 / 4 / 7 / 15</w:t>
            </w:r>
          </w:p>
        </w:tc>
        <w:tc>
          <w:tcPr>
            <w:tcW w:type="dxa" w:w="2160"/>
          </w:tcPr>
          <w:p>
            <w:r>
              <w:t>Same annotation source, category list restricted</w:t>
            </w:r>
          </w:p>
        </w:tc>
        <w:tc>
          <w:tcPr>
            <w:tcW w:type="dxa" w:w="2160"/>
          </w:tcPr>
          <w:p>
            <w:r>
              <w:t>Narrower category sets for targeted experiments</w:t>
            </w:r>
          </w:p>
        </w:tc>
      </w:tr>
      <w:tr>
        <w:tc>
          <w:tcPr>
            <w:tcW w:type="dxa" w:w="2160"/>
          </w:tcPr>
          <w:p>
            <w:r>
              <w:t>Single-label (legacy)</w:t>
            </w:r>
          </w:p>
        </w:tc>
        <w:tc>
          <w:tcPr>
            <w:tcW w:type="dxa" w:w="2160"/>
          </w:tcPr>
          <w:p>
            <w:r>
              <w:t>13 / 15 / 18</w:t>
            </w:r>
          </w:p>
        </w:tc>
        <w:tc>
          <w:tcPr>
            <w:tcW w:type="dxa" w:w="2160"/>
          </w:tcPr>
          <w:p>
            <w:r>
              <w:t>Folder-per-class image collection</w:t>
            </w:r>
          </w:p>
        </w:tc>
        <w:tc>
          <w:tcPr>
            <w:tcW w:type="dxa" w:w="2160"/>
          </w:tcPr>
          <w:p>
            <w:r>
              <w:t>Predates the multi-label reformulation; several related explicit-content classes are collapsed into a single class</w:t>
            </w:r>
          </w:p>
        </w:tc>
      </w:tr>
      <w:tr>
        <w:tc>
          <w:tcPr>
            <w:tcW w:type="dxa" w:w="2160"/>
          </w:tcPr>
          <w:p>
            <w:r>
              <w:t>Video-level screening</w:t>
            </w:r>
          </w:p>
        </w:tc>
        <w:tc>
          <w:tcPr>
            <w:tcW w:type="dxa" w:w="2160"/>
          </w:tcPr>
          <w:p>
            <w:r>
              <w:t>3</w:t>
            </w:r>
          </w:p>
        </w:tc>
        <w:tc>
          <w:tcPr>
            <w:tcW w:type="dxa" w:w="2160"/>
          </w:tcPr>
          <w:p>
            <w:r>
              <w:t>Folder-per-class image collection, 80/10/10 split</w:t>
            </w:r>
          </w:p>
        </w:tc>
        <w:tc>
          <w:tcPr>
            <w:tcW w:type="dxa" w:w="2160"/>
          </w:tcPr>
          <w:p>
            <w:r>
              <w:t>Downstream video-level evaluation uses a separate 70-video set (37 accept / 33 reject)</w:t>
            </w:r>
          </w:p>
        </w:tc>
      </w:tr>
    </w:tbl>
    <w:p/>
    <w:p>
      <w:pPr>
        <w:pStyle w:val="Heading1"/>
      </w:pPr>
      <w:r>
        <w:t>4. Model Architecture</w:t>
      </w:r>
    </w:p>
    <w:p>
      <w:pPr>
        <w:pStyle w:val="Heading2"/>
      </w:pPr>
      <w:r>
        <w:t>4.1 Backbone Adapter</w:t>
      </w:r>
    </w:p>
    <w:p>
      <w:r>
        <w:rPr>
          <w:b w:val="0"/>
          <w:i w:val="0"/>
        </w:rPr>
        <w:t>A single backbone-adapter module can host either a self-supervised vision-transformer backbone or a from-scratch, rotary-position-embedding vision transformer, selected by configuration. Both backbone options are fed through the same downstream adapter logic:</w:t>
      </w:r>
    </w:p>
    <w:p>
      <w:pPr>
        <w:pStyle w:val="ListBullet"/>
      </w:pPr>
      <w:r>
        <w:t>A configurable set of intermediate transformer layers feed a multi-scale spatial-feature-fusion module, inherited from the detection framework's backbone-adapter design (both evaluated configurations tap the same three intermediate layers).</w:t>
      </w:r>
    </w:p>
    <w:p>
      <w:pPr>
        <w:pStyle w:val="ListBullet"/>
      </w:pPr>
      <w:r>
        <w:t>A configurable number of early transformer blocks are frozen during fine-tuning (both evaluated configurations freeze the first six blocks); the adapter takes care to keep frozen blocks in evaluation mode even while the rest of the model is in training mode, to prevent unwanted statistics drift in the frozen portion.</w:t>
      </w:r>
    </w:p>
    <w:p>
      <w:pPr>
        <w:pStyle w:val="ListBullet"/>
      </w:pPr>
      <w:r>
        <w:t>Pretrained weights are loaded through a safety-checked loading path that avoids known deserialization warnings in newer versions of the underlying deep-learning framework.</w:t>
      </w:r>
    </w:p>
    <w:p>
      <w:pPr>
        <w:pStyle w:val="Heading2"/>
      </w:pPr>
      <w:r>
        <w:t>4.2 Classification Heads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
              <w:rPr>
                <w:b/>
                <w:color w:val="FFFFFF"/>
              </w:rPr>
            </w:r>
          </w:p>
        </w:tc>
        <w:tc>
          <w:tcPr>
            <w:tcW w:type="dxa" w:w="2880"/>
            <w:shd w:val="clear" w:color="auto" w:fill="2F5496"/>
          </w:tcPr>
          <w:p>
            <w:r/>
            <w:r>
              <w:rPr>
                <w:b/>
                <w:color w:val="FFFFFF"/>
              </w:rPr>
              <w:t>Single-label head</w:t>
            </w:r>
          </w:p>
        </w:tc>
        <w:tc>
          <w:tcPr>
            <w:tcW w:type="dxa" w:w="2880"/>
            <w:shd w:val="clear" w:color="auto" w:fill="2F5496"/>
          </w:tcPr>
          <w:p>
            <w:r/>
            <w:r>
              <w:rPr>
                <w:b/>
                <w:color w:val="FFFFFF"/>
              </w:rPr>
              <w:t>Multi-label head</w:t>
            </w:r>
          </w:p>
        </w:tc>
      </w:tr>
      <w:tr>
        <w:tc>
          <w:tcPr>
            <w:tcW w:type="dxa" w:w="2880"/>
          </w:tcPr>
          <w:p>
            <w:r>
              <w:t>Output activation</w:t>
            </w:r>
          </w:p>
        </w:tc>
        <w:tc>
          <w:tcPr>
            <w:tcW w:type="dxa" w:w="2880"/>
          </w:tcPr>
          <w:p>
            <w:r>
              <w:t>Mutually-exclusive (softmax) probability distribution over classes</w:t>
            </w:r>
          </w:p>
        </w:tc>
        <w:tc>
          <w:tcPr>
            <w:tcW w:type="dxa" w:w="2880"/>
          </w:tcPr>
          <w:p>
            <w:r>
              <w:t>Independent per-class (sigmoid) probability for each category</w:t>
            </w:r>
          </w:p>
        </w:tc>
      </w:tr>
      <w:tr>
        <w:tc>
          <w:tcPr>
            <w:tcW w:type="dxa" w:w="2880"/>
          </w:tcPr>
          <w:p>
            <w:r>
              <w:t>Pooling / feature aggregation</w:t>
            </w:r>
          </w:p>
        </w:tc>
        <w:tc>
          <w:tcPr>
            <w:tcW w:type="dxa" w:w="2880"/>
          </w:tcPr>
          <w:p>
            <w:r>
              <w:t>Attention-based spatial pooling</w:t>
            </w:r>
          </w:p>
        </w:tc>
        <w:tc>
          <w:tcPr>
            <w:tcW w:type="dxa" w:w="2880"/>
          </w:tcPr>
          <w:p>
            <w:r>
              <w:t>A configurable feature-aggregation head</w:t>
            </w:r>
          </w:p>
        </w:tc>
      </w:tr>
      <w:tr>
        <w:tc>
          <w:tcPr>
            <w:tcW w:type="dxa" w:w="2880"/>
          </w:tcPr>
          <w:p>
            <w:r>
              <w:t>Typical use</w:t>
            </w:r>
          </w:p>
        </w:tc>
        <w:tc>
          <w:tcPr>
            <w:tcW w:type="dxa" w:w="2880"/>
          </w:tcPr>
          <w:p>
            <w:r>
              <w:t>Legacy 13–18 class folder-based taxonomy</w:t>
            </w:r>
          </w:p>
        </w:tc>
        <w:tc>
          <w:tcPr>
            <w:tcW w:type="dxa" w:w="2880"/>
          </w:tcPr>
          <w:p>
            <w:r>
              <w:t>Primary 16-class human-reviewed taxonomy</w:t>
            </w:r>
          </w:p>
        </w:tc>
      </w:tr>
    </w:tbl>
    <w:p/>
    <w:p>
      <w:pPr>
        <w:pStyle w:val="Heading2"/>
      </w:pPr>
      <w:r>
        <w:t>4.3 Loss Functions</w:t>
      </w:r>
    </w:p>
    <w:p>
      <w:pPr>
        <w:pStyle w:val="ListBullet"/>
      </w:pPr>
      <w:r>
        <w:t>Single-label path: a focal loss (with automatic class weighting) or a weighted cross-entropy loss, addressing class imbalance across the 13–18 legacy classes.</w:t>
      </w:r>
    </w:p>
    <w:p>
      <w:pPr>
        <w:pStyle w:val="ListBullet"/>
      </w:pPr>
      <w:r>
        <w:t>Multi-label path: a binary classification loss combining per-class automatic positive-example weighting with label smoothing, to reduce over-confidence given noisy human-reviewed labels.</w:t>
      </w:r>
    </w:p>
    <w:p>
      <w:pPr>
        <w:pStyle w:val="Heading2"/>
      </w:pPr>
      <w:r>
        <w:t>4.4 Two-Stage Classification Strategy (Serving-Time)</w:t>
      </w:r>
    </w:p>
    <w:p>
      <w:r>
        <w:rPr>
          <w:b w:val="0"/>
          <w:i w:val="0"/>
        </w:rPr>
        <w:t>The production serving layer (Section 7.3) introduces an additional, serving-time-only refinement strategy: a coarse classification pass followed by a more detailed refinement pass, allowing a fast coarse decision to gate a more expensive, higher-precision second pass. This is complemented by an optional secondary nudity-detection refinement step that can veto or adjust the primary classifier's decision using a separate, specialist nudity-detection model.</w:t>
      </w:r>
    </w:p>
    <w:p>
      <w:pPr>
        <w:pStyle w:val="Heading1"/>
      </w:pPr>
      <w:r>
        <w:t>5. Training Methodology</w:t>
      </w:r>
    </w:p>
    <w:p>
      <w:pPr>
        <w:pStyle w:val="Heading2"/>
      </w:pPr>
      <w:r>
        <w:t>5.1 Training Engine Overview</w:t>
      </w:r>
    </w:p>
    <w:p>
      <w:r>
        <w:rPr>
          <w:b w:val="0"/>
          <w:i w:val="0"/>
        </w:rPr>
        <w:t>Training is driven by a configuration-first component registry inherited from the underlying detection framework: declarative configuration files specify which dataset, model, loss, optimizer, and learning-rate-schedule components to instantiate, with configuration composed hierarchically across shared defaults, dataset-specific settings, and model-specific settings. A shared training-loop abstraction implements checkpoint saving/loading and device placement; task-specific variants implement the per-epoch training and validation loops for the single-label and multi-label formulations respectively.</w:t>
      </w:r>
    </w:p>
    <w:p>
      <w:pPr>
        <w:pStyle w:val="Heading2"/>
      </w:pPr>
      <w:r>
        <w:t>5.2 Optimization</w:t>
      </w:r>
    </w:p>
    <w:p>
      <w:pPr>
        <w:pStyle w:val="ListBullet"/>
      </w:pPr>
      <w:r>
        <w:t>Optimizer: a Muon-family optimizer, with differential learning rates applied to the backbone versus the classification head in the multi-label configuration.</w:t>
      </w:r>
    </w:p>
    <w:p>
      <w:pPr>
        <w:pStyle w:val="ListBullet"/>
      </w:pPr>
      <w:r>
        <w:t>Scheduling: cosine-annealing learning-rate decay combined with a plateau-based reduction triggered on validation macro-F1; training is stopped early after 10 epochs without improvement.</w:t>
      </w:r>
    </w:p>
    <w:p>
      <w:pPr>
        <w:pStyle w:val="ListBullet"/>
      </w:pPr>
      <w:r>
        <w:t>Stabilization: an exponential moving average of model weights, automatic mixed-precision computation, and a learning-rate warmup phase.</w:t>
      </w:r>
    </w:p>
    <w:p>
      <w:pPr>
        <w:pStyle w:val="ListBullet"/>
      </w:pPr>
      <w:r>
        <w:t>Training length: 72 epochs in the shared optimizer configuration.</w:t>
      </w:r>
    </w:p>
    <w:p>
      <w:pPr>
        <w:pStyle w:val="Heading2"/>
      </w:pPr>
      <w:r>
        <w:t>5.3 Data Augmentation</w:t>
      </w:r>
    </w:p>
    <w:p>
      <w:r>
        <w:rPr>
          <w:b w:val="0"/>
          <w:i w:val="0"/>
        </w:rPr>
        <w:t>Input images are resized to a fixed 384×384 resolution and normalized using standard image-classification statistics. A “hard classes” mechanism applies stronger augmentation specifically to a configured subset of categories that are most prone to over-fitting or under-representation (in the flagship configuration: explicit content, exposed anatomy, sexual content, and suggestive content), to improve robustness on exactly the categories where mistakes matter most.</w:t>
      </w:r>
    </w:p>
    <w:p>
      <w:pPr>
        <w:pStyle w:val="Heading2"/>
      </w:pPr>
      <w:r>
        <w:t>5.4 Evaluation Metrics</w:t>
      </w:r>
    </w:p>
    <w:p>
      <w:pPr>
        <w:pStyle w:val="ListBullet"/>
      </w:pPr>
      <w:r>
        <w:t>Macro F1 and subset accuracy (exact label-set match) for the multi-label task.</w:t>
      </w:r>
    </w:p>
    <w:p>
      <w:pPr>
        <w:pStyle w:val="ListBullet"/>
      </w:pPr>
      <w:r>
        <w:t>Per-class F1 at a configurable decision threshold (0.35 in the flagship configuration, applied uniformly across all 16 categories — see Section 9.2 for a discussion of per-category threshold calibration as a recommended improvement).</w:t>
      </w:r>
    </w:p>
    <w:p>
      <w:pPr>
        <w:pStyle w:val="ListBullet"/>
      </w:pPr>
      <w:r>
        <w:t>Confusion matrices and per-class metric plots, generated by dedicated evaluation runs rather than during training itself.</w:t>
      </w:r>
    </w:p>
    <w:p>
      <w:pPr>
        <w:pStyle w:val="Heading2"/>
      </w:pPr>
      <w:r>
        <w:t>5.5 Monitoring</w:t>
      </w:r>
    </w:p>
    <w:p>
      <w:r>
        <w:rPr>
          <w:b w:val="0"/>
          <w:i w:val="0"/>
        </w:rPr>
        <w:t>A lightweight metrics-plotting utility accumulates per-epoch training and validation loss and accuracy and rewrites a training-curve chart after every epoch, giving a dependency-light training dashboard alongside the post-hoc confusion-matrix and per-class-metric visualizations produced by the evaluation runs.</w:t>
      </w:r>
    </w:p>
    <w:p>
      <w:pPr>
        <w:pStyle w:val="Heading1"/>
      </w:pPr>
      <w:r>
        <w:t>6. Experimental Results</w:t>
      </w:r>
    </w:p>
    <w:p>
      <w:r>
        <w:rPr>
          <w:b w:val="0"/>
          <w:i w:val="0"/>
        </w:rPr>
        <w:t>This section reports a controlled comparison between two classifiers that share an identical multi-label classification head and identical adapter configuration (the same three tapped intermediate layers, the same six frozen early blocks), differing only in backbone: a lightweight, supervised-pretrained vision transformer versus a self-supervised, large-scale-pretrained vision transformer.</w:t>
      </w:r>
    </w:p>
    <w:p>
      <w:pPr>
        <w:pStyle w:val="Heading2"/>
      </w:pPr>
      <w:r>
        <w:t>6.1 Experimental Setup</w:t>
      </w:r>
    </w:p>
    <w:p>
      <w:pPr>
        <w:pStyle w:val="ListBullet"/>
      </w:pPr>
      <w:r>
        <w:t>Frame-level evaluation: 878 held-out test images, 16-category multi-label, decision threshold 0.35.</w:t>
      </w:r>
    </w:p>
    <w:p>
      <w:pPr>
        <w:pStyle w:val="ListBullet"/>
      </w:pPr>
      <w:r>
        <w:t>Video-level evaluation: 70 held-out videos (37 accept, 33 reject), evaluated end to end through the sliding-window video pipeline, using per-category confidence thresholds tuned per backbone for the two trigger categories (a specific exposed-anatomy category and a specific sexual-content category) used as the video-level decision trigger.</w:t>
      </w:r>
    </w:p>
    <w:p>
      <w:pPr>
        <w:pStyle w:val="ListBullet"/>
      </w:pPr>
      <w:r>
        <w:t>Inference speed and peak memory usage measured under matched hardware and batch conditions.</w:t>
      </w:r>
    </w:p>
    <w:p>
      <w:pPr>
        <w:pStyle w:val="Heading2"/>
      </w:pPr>
      <w:r>
        <w:t>6.2 Frame-Level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rPr>
              <w:t>Metric</w:t>
            </w:r>
          </w:p>
        </w:tc>
        <w:tc>
          <w:tcPr>
            <w:tcW w:type="dxa" w:w="2160"/>
            <w:shd w:val="clear" w:color="auto" w:fill="2F5496"/>
          </w:tcPr>
          <w:p>
            <w:r/>
            <w:r>
              <w:rPr>
                <w:b/>
                <w:color w:val="FFFFFF"/>
              </w:rPr>
              <w:t>Lightweight backbone</w:t>
            </w:r>
          </w:p>
        </w:tc>
        <w:tc>
          <w:tcPr>
            <w:tcW w:type="dxa" w:w="2160"/>
            <w:shd w:val="clear" w:color="auto" w:fill="2F5496"/>
          </w:tcPr>
          <w:p>
            <w:r/>
            <w:r>
              <w:rPr>
                <w:b/>
                <w:color w:val="FFFFFF"/>
              </w:rPr>
              <w:t>Self-supervised backbone</w:t>
            </w:r>
          </w:p>
        </w:tc>
        <w:tc>
          <w:tcPr>
            <w:tcW w:type="dxa" w:w="2160"/>
            <w:shd w:val="clear" w:color="auto" w:fill="2F5496"/>
          </w:tcPr>
          <w:p>
            <w:r/>
            <w:r>
              <w:rPr>
                <w:b/>
                <w:color w:val="FFFFFF"/>
              </w:rPr>
              <w:t>Difference</w:t>
            </w:r>
          </w:p>
        </w:tc>
      </w:tr>
      <w:tr>
        <w:tc>
          <w:tcPr>
            <w:tcW w:type="dxa" w:w="2160"/>
          </w:tcPr>
          <w:p>
            <w:r>
              <w:t>Macro F1</w:t>
            </w:r>
          </w:p>
        </w:tc>
        <w:tc>
          <w:tcPr>
            <w:tcW w:type="dxa" w:w="2160"/>
          </w:tcPr>
          <w:p>
            <w:r>
              <w:t>0.8576</w:t>
            </w:r>
          </w:p>
        </w:tc>
        <w:tc>
          <w:tcPr>
            <w:tcW w:type="dxa" w:w="2160"/>
          </w:tcPr>
          <w:p>
            <w:r>
              <w:t>0.8977</w:t>
            </w:r>
          </w:p>
        </w:tc>
        <w:tc>
          <w:tcPr>
            <w:tcW w:type="dxa" w:w="2160"/>
          </w:tcPr>
          <w:p>
            <w:r>
              <w:t>+0.0401</w:t>
            </w:r>
          </w:p>
        </w:tc>
      </w:tr>
      <w:tr>
        <w:tc>
          <w:tcPr>
            <w:tcW w:type="dxa" w:w="2160"/>
          </w:tcPr>
          <w:p>
            <w:r>
              <w:t>Subset accuracy (exact match)</w:t>
            </w:r>
          </w:p>
        </w:tc>
        <w:tc>
          <w:tcPr>
            <w:tcW w:type="dxa" w:w="2160"/>
          </w:tcPr>
          <w:p>
            <w:r>
              <w:t>0.6438</w:t>
            </w:r>
          </w:p>
        </w:tc>
        <w:tc>
          <w:tcPr>
            <w:tcW w:type="dxa" w:w="2160"/>
          </w:tcPr>
          <w:p>
            <w:r>
              <w:t>0.7515</w:t>
            </w:r>
          </w:p>
        </w:tc>
        <w:tc>
          <w:tcPr>
            <w:tcW w:type="dxa" w:w="2160"/>
          </w:tcPr>
          <w:p>
            <w:r>
              <w:t>+0.1077</w:t>
            </w:r>
          </w:p>
        </w:tc>
      </w:tr>
      <w:tr>
        <w:tc>
          <w:tcPr>
            <w:tcW w:type="dxa" w:w="2160"/>
          </w:tcPr>
          <w:p>
            <w:r>
              <w:t>Validation loss</w:t>
            </w:r>
          </w:p>
        </w:tc>
        <w:tc>
          <w:tcPr>
            <w:tcW w:type="dxa" w:w="2160"/>
          </w:tcPr>
          <w:p>
            <w:r>
              <w:t>0.2773</w:t>
            </w:r>
          </w:p>
        </w:tc>
        <w:tc>
          <w:tcPr>
            <w:tcW w:type="dxa" w:w="2160"/>
          </w:tcPr>
          <w:p>
            <w:r>
              <w:t>0.2594</w:t>
            </w:r>
          </w:p>
        </w:tc>
        <w:tc>
          <w:tcPr>
            <w:tcW w:type="dxa" w:w="2160"/>
          </w:tcPr>
          <w:p>
            <w:r>
              <w:t>−0.0179</w:t>
            </w:r>
          </w:p>
        </w:tc>
      </w:tr>
      <w:tr>
        <w:tc>
          <w:tcPr>
            <w:tcW w:type="dxa" w:w="2160"/>
          </w:tcPr>
          <w:p>
            <w:r>
              <w:t>Inference speed</w:t>
            </w:r>
          </w:p>
        </w:tc>
        <w:tc>
          <w:tcPr>
            <w:tcW w:type="dxa" w:w="2160"/>
          </w:tcPr>
          <w:p>
            <w:r>
              <w:t>329.2 fps</w:t>
            </w:r>
          </w:p>
        </w:tc>
        <w:tc>
          <w:tcPr>
            <w:tcW w:type="dxa" w:w="2160"/>
          </w:tcPr>
          <w:p>
            <w:r>
              <w:t>312.0 fps</w:t>
            </w:r>
          </w:p>
        </w:tc>
        <w:tc>
          <w:tcPr>
            <w:tcW w:type="dxa" w:w="2160"/>
          </w:tcPr>
          <w:p>
            <w:r>
              <w:t>−17.2 fps</w:t>
            </w:r>
          </w:p>
        </w:tc>
      </w:tr>
      <w:tr>
        <w:tc>
          <w:tcPr>
            <w:tcW w:type="dxa" w:w="2160"/>
          </w:tcPr>
          <w:p>
            <w:r>
              <w:t>Peak memory (allocated)</w:t>
            </w:r>
          </w:p>
        </w:tc>
        <w:tc>
          <w:tcPr>
            <w:tcW w:type="dxa" w:w="2160"/>
          </w:tcPr>
          <w:p>
            <w:r>
              <w:t>1307.9 MB</w:t>
            </w:r>
          </w:p>
        </w:tc>
        <w:tc>
          <w:tcPr>
            <w:tcW w:type="dxa" w:w="2160"/>
          </w:tcPr>
          <w:p>
            <w:r>
              <w:t>1307.5 MB</w:t>
            </w:r>
          </w:p>
        </w:tc>
        <w:tc>
          <w:tcPr>
            <w:tcW w:type="dxa" w:w="2160"/>
          </w:tcPr>
          <w:p>
            <w:r>
              <w:t>~same</w:t>
            </w:r>
          </w:p>
        </w:tc>
      </w:tr>
    </w:tbl>
    <w:p/>
    <w:p>
      <w:r>
        <w:rPr>
          <w:b/>
          <w:i w:val="0"/>
        </w:rPr>
        <w:t>Per-category F1 (16 categories):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rPr>
              <w:t>Category</w:t>
            </w:r>
          </w:p>
        </w:tc>
        <w:tc>
          <w:tcPr>
            <w:tcW w:type="dxa" w:w="2160"/>
            <w:shd w:val="clear" w:color="auto" w:fill="2F5496"/>
          </w:tcPr>
          <w:p>
            <w:r/>
            <w:r>
              <w:rPr>
                <w:b/>
                <w:color w:val="FFFFFF"/>
              </w:rPr>
              <w:t>Lightweight backbone F1</w:t>
            </w:r>
          </w:p>
        </w:tc>
        <w:tc>
          <w:tcPr>
            <w:tcW w:type="dxa" w:w="2160"/>
            <w:shd w:val="clear" w:color="auto" w:fill="2F5496"/>
          </w:tcPr>
          <w:p>
            <w:r/>
            <w:r>
              <w:rPr>
                <w:b/>
                <w:color w:val="FFFFFF"/>
              </w:rPr>
              <w:t>Self-supervised backbone F1</w:t>
            </w:r>
          </w:p>
        </w:tc>
        <w:tc>
          <w:tcPr>
            <w:tcW w:type="dxa" w:w="2160"/>
            <w:shd w:val="clear" w:color="auto" w:fill="2F5496"/>
          </w:tcPr>
          <w:p>
            <w:r/>
            <w:r>
              <w:rPr>
                <w:b/>
                <w:color w:val="FFFFFF"/>
              </w:rPr>
              <w:t>Difference</w:t>
            </w:r>
          </w:p>
        </w:tc>
      </w:tr>
      <w:tr>
        <w:tc>
          <w:tcPr>
            <w:tcW w:type="dxa" w:w="2160"/>
          </w:tcPr>
          <w:p>
            <w:r>
              <w:t>Body part (general)</w:t>
            </w:r>
          </w:p>
        </w:tc>
        <w:tc>
          <w:tcPr>
            <w:tcW w:type="dxa" w:w="2160"/>
          </w:tcPr>
          <w:p>
            <w:r>
              <w:t>0.817</w:t>
            </w:r>
          </w:p>
        </w:tc>
        <w:tc>
          <w:tcPr>
            <w:tcW w:type="dxa" w:w="2160"/>
          </w:tcPr>
          <w:p>
            <w:r>
              <w:t>0.862</w:t>
            </w:r>
          </w:p>
        </w:tc>
        <w:tc>
          <w:tcPr>
            <w:tcW w:type="dxa" w:w="2160"/>
          </w:tcPr>
          <w:p>
            <w:r>
              <w:t>+0.045</w:t>
            </w:r>
          </w:p>
        </w:tc>
      </w:tr>
      <w:tr>
        <w:tc>
          <w:tcPr>
            <w:tcW w:type="dxa" w:w="2160"/>
          </w:tcPr>
          <w:p>
            <w:r>
              <w:t>Depiction of a minor</w:t>
            </w:r>
          </w:p>
        </w:tc>
        <w:tc>
          <w:tcPr>
            <w:tcW w:type="dxa" w:w="2160"/>
          </w:tcPr>
          <w:p>
            <w:r>
              <w:t>0.898</w:t>
            </w:r>
          </w:p>
        </w:tc>
        <w:tc>
          <w:tcPr>
            <w:tcW w:type="dxa" w:w="2160"/>
          </w:tcPr>
          <w:p>
            <w:r>
              <w:t>0.906</w:t>
            </w:r>
          </w:p>
        </w:tc>
        <w:tc>
          <w:tcPr>
            <w:tcW w:type="dxa" w:w="2160"/>
          </w:tcPr>
          <w:p>
            <w:r>
              <w:t>+0.008</w:t>
            </w:r>
          </w:p>
        </w:tc>
      </w:tr>
      <w:tr>
        <w:tc>
          <w:tcPr>
            <w:tcW w:type="dxa" w:w="2160"/>
          </w:tcPr>
          <w:p>
            <w:r>
              <w:t>Comic / illustrated content</w:t>
            </w:r>
          </w:p>
        </w:tc>
        <w:tc>
          <w:tcPr>
            <w:tcW w:type="dxa" w:w="2160"/>
          </w:tcPr>
          <w:p>
            <w:r>
              <w:t>0.868</w:t>
            </w:r>
          </w:p>
        </w:tc>
        <w:tc>
          <w:tcPr>
            <w:tcW w:type="dxa" w:w="2160"/>
          </w:tcPr>
          <w:p>
            <w:r>
              <w:t>0.916</w:t>
            </w:r>
          </w:p>
        </w:tc>
        <w:tc>
          <w:tcPr>
            <w:tcW w:type="dxa" w:w="2160"/>
          </w:tcPr>
          <w:p>
            <w:r>
              <w:t>+0.048</w:t>
            </w:r>
          </w:p>
        </w:tc>
      </w:tr>
      <w:tr>
        <w:tc>
          <w:tcPr>
            <w:tcW w:type="dxa" w:w="2160"/>
          </w:tcPr>
          <w:p>
            <w:r>
              <w:t>Explicit content</w:t>
            </w:r>
          </w:p>
        </w:tc>
        <w:tc>
          <w:tcPr>
            <w:tcW w:type="dxa" w:w="2160"/>
          </w:tcPr>
          <w:p>
            <w:r>
              <w:t>0.862</w:t>
            </w:r>
          </w:p>
        </w:tc>
        <w:tc>
          <w:tcPr>
            <w:tcW w:type="dxa" w:w="2160"/>
          </w:tcPr>
          <w:p>
            <w:r>
              <w:t>0.877</w:t>
            </w:r>
          </w:p>
        </w:tc>
        <w:tc>
          <w:tcPr>
            <w:tcW w:type="dxa" w:w="2160"/>
          </w:tcPr>
          <w:p>
            <w:r>
              <w:t>+0.015</w:t>
            </w:r>
          </w:p>
        </w:tc>
      </w:tr>
      <w:tr>
        <w:tc>
          <w:tcPr>
            <w:tcW w:type="dxa" w:w="2160"/>
          </w:tcPr>
          <w:p>
            <w:r>
              <w:t>Female present</w:t>
            </w:r>
          </w:p>
        </w:tc>
        <w:tc>
          <w:tcPr>
            <w:tcW w:type="dxa" w:w="2160"/>
          </w:tcPr>
          <w:p>
            <w:r>
              <w:t>0.834</w:t>
            </w:r>
          </w:p>
        </w:tc>
        <w:tc>
          <w:tcPr>
            <w:tcW w:type="dxa" w:w="2160"/>
          </w:tcPr>
          <w:p>
            <w:r>
              <w:t>0.862</w:t>
            </w:r>
          </w:p>
        </w:tc>
        <w:tc>
          <w:tcPr>
            <w:tcW w:type="dxa" w:w="2160"/>
          </w:tcPr>
          <w:p>
            <w:r>
              <w:t>+0.028</w:t>
            </w:r>
          </w:p>
        </w:tc>
      </w:tr>
      <w:tr>
        <w:tc>
          <w:tcPr>
            <w:tcW w:type="dxa" w:w="2160"/>
          </w:tcPr>
          <w:p>
            <w:r>
              <w:t>Female face</w:t>
            </w:r>
          </w:p>
        </w:tc>
        <w:tc>
          <w:tcPr>
            <w:tcW w:type="dxa" w:w="2160"/>
          </w:tcPr>
          <w:p>
            <w:r>
              <w:t>0.841</w:t>
            </w:r>
          </w:p>
        </w:tc>
        <w:tc>
          <w:tcPr>
            <w:tcW w:type="dxa" w:w="2160"/>
          </w:tcPr>
          <w:p>
            <w:r>
              <w:t>0.893</w:t>
            </w:r>
          </w:p>
        </w:tc>
        <w:tc>
          <w:tcPr>
            <w:tcW w:type="dxa" w:w="2160"/>
          </w:tcPr>
          <w:p>
            <w:r>
              <w:t>+0.052</w:t>
            </w:r>
          </w:p>
        </w:tc>
      </w:tr>
      <w:tr>
        <w:tc>
          <w:tcPr>
            <w:tcW w:type="dxa" w:w="2160"/>
          </w:tcPr>
          <w:p>
            <w:r>
              <w:t>Female genitalia exposed</w:t>
            </w:r>
          </w:p>
        </w:tc>
        <w:tc>
          <w:tcPr>
            <w:tcW w:type="dxa" w:w="2160"/>
          </w:tcPr>
          <w:p>
            <w:r>
              <w:t>0.875</w:t>
            </w:r>
          </w:p>
        </w:tc>
        <w:tc>
          <w:tcPr>
            <w:tcW w:type="dxa" w:w="2160"/>
          </w:tcPr>
          <w:p>
            <w:r>
              <w:t>0.901</w:t>
            </w:r>
          </w:p>
        </w:tc>
        <w:tc>
          <w:tcPr>
            <w:tcW w:type="dxa" w:w="2160"/>
          </w:tcPr>
          <w:p>
            <w:r>
              <w:t>+0.026</w:t>
            </w:r>
          </w:p>
        </w:tc>
      </w:tr>
      <w:tr>
        <w:tc>
          <w:tcPr>
            <w:tcW w:type="dxa" w:w="2160"/>
          </w:tcPr>
          <w:p>
            <w:r>
              <w:t>Male present</w:t>
            </w:r>
          </w:p>
        </w:tc>
        <w:tc>
          <w:tcPr>
            <w:tcW w:type="dxa" w:w="2160"/>
          </w:tcPr>
          <w:p>
            <w:r>
              <w:t>0.830</w:t>
            </w:r>
          </w:p>
        </w:tc>
        <w:tc>
          <w:tcPr>
            <w:tcW w:type="dxa" w:w="2160"/>
          </w:tcPr>
          <w:p>
            <w:r>
              <w:t>0.815</w:t>
            </w:r>
          </w:p>
        </w:tc>
        <w:tc>
          <w:tcPr>
            <w:tcW w:type="dxa" w:w="2160"/>
          </w:tcPr>
          <w:p>
            <w:r>
              <w:t>−0.015</w:t>
            </w:r>
          </w:p>
        </w:tc>
      </w:tr>
      <w:tr>
        <w:tc>
          <w:tcPr>
            <w:tcW w:type="dxa" w:w="2160"/>
          </w:tcPr>
          <w:p>
            <w:r>
              <w:t>Male sexual content</w:t>
            </w:r>
          </w:p>
        </w:tc>
        <w:tc>
          <w:tcPr>
            <w:tcW w:type="dxa" w:w="2160"/>
          </w:tcPr>
          <w:p>
            <w:r>
              <w:t>0.925</w:t>
            </w:r>
          </w:p>
        </w:tc>
        <w:tc>
          <w:tcPr>
            <w:tcW w:type="dxa" w:w="2160"/>
          </w:tcPr>
          <w:p>
            <w:r>
              <w:t>0.962</w:t>
            </w:r>
          </w:p>
        </w:tc>
        <w:tc>
          <w:tcPr>
            <w:tcW w:type="dxa" w:w="2160"/>
          </w:tcPr>
          <w:p>
            <w:r>
              <w:t>+0.037</w:t>
            </w:r>
          </w:p>
        </w:tc>
      </w:tr>
      <w:tr>
        <w:tc>
          <w:tcPr>
            <w:tcW w:type="dxa" w:w="2160"/>
          </w:tcPr>
          <w:p>
            <w:r>
              <w:t>Multiple people</w:t>
            </w:r>
          </w:p>
        </w:tc>
        <w:tc>
          <w:tcPr>
            <w:tcW w:type="dxa" w:w="2160"/>
          </w:tcPr>
          <w:p>
            <w:r>
              <w:t>0.872</w:t>
            </w:r>
          </w:p>
        </w:tc>
        <w:tc>
          <w:tcPr>
            <w:tcW w:type="dxa" w:w="2160"/>
          </w:tcPr>
          <w:p>
            <w:r>
              <w:t>0.861</w:t>
            </w:r>
          </w:p>
        </w:tc>
        <w:tc>
          <w:tcPr>
            <w:tcW w:type="dxa" w:w="2160"/>
          </w:tcPr>
          <w:p>
            <w:r>
              <w:t>−0.012</w:t>
            </w:r>
          </w:p>
        </w:tc>
      </w:tr>
      <w:tr>
        <w:tc>
          <w:tcPr>
            <w:tcW w:type="dxa" w:w="2160"/>
          </w:tcPr>
          <w:p>
            <w:r>
              <w:t>No people present</w:t>
            </w:r>
          </w:p>
        </w:tc>
        <w:tc>
          <w:tcPr>
            <w:tcW w:type="dxa" w:w="2160"/>
          </w:tcPr>
          <w:p>
            <w:r>
              <w:t>0.950</w:t>
            </w:r>
          </w:p>
        </w:tc>
        <w:tc>
          <w:tcPr>
            <w:tcW w:type="dxa" w:w="2160"/>
          </w:tcPr>
          <w:p>
            <w:r>
              <w:t>0.971</w:t>
            </w:r>
          </w:p>
        </w:tc>
        <w:tc>
          <w:tcPr>
            <w:tcW w:type="dxa" w:w="2160"/>
          </w:tcPr>
          <w:p>
            <w:r>
              <w:t>+0.021</w:t>
            </w:r>
          </w:p>
        </w:tc>
      </w:tr>
      <w:tr>
        <w:tc>
          <w:tcPr>
            <w:tcW w:type="dxa" w:w="2160"/>
          </w:tcPr>
          <w:p>
            <w:r>
              <w:t>Personal data visible</w:t>
            </w:r>
          </w:p>
        </w:tc>
        <w:tc>
          <w:tcPr>
            <w:tcW w:type="dxa" w:w="2160"/>
          </w:tcPr>
          <w:p>
            <w:r>
              <w:t>0.833</w:t>
            </w:r>
          </w:p>
        </w:tc>
        <w:tc>
          <w:tcPr>
            <w:tcW w:type="dxa" w:w="2160"/>
          </w:tcPr>
          <w:p>
            <w:r>
              <w:t>0.924</w:t>
            </w:r>
          </w:p>
        </w:tc>
        <w:tc>
          <w:tcPr>
            <w:tcW w:type="dxa" w:w="2160"/>
          </w:tcPr>
          <w:p>
            <w:r>
              <w:t>+0.091</w:t>
            </w:r>
          </w:p>
        </w:tc>
      </w:tr>
      <w:tr>
        <w:tc>
          <w:tcPr>
            <w:tcW w:type="dxa" w:w="2160"/>
          </w:tcPr>
          <w:p>
            <w:r>
              <w:t>Comic / illustrated pornographic content</w:t>
            </w:r>
          </w:p>
        </w:tc>
        <w:tc>
          <w:tcPr>
            <w:tcW w:type="dxa" w:w="2160"/>
          </w:tcPr>
          <w:p>
            <w:r>
              <w:t>0.929</w:t>
            </w:r>
          </w:p>
        </w:tc>
        <w:tc>
          <w:tcPr>
            <w:tcW w:type="dxa" w:w="2160"/>
          </w:tcPr>
          <w:p>
            <w:r>
              <w:t>0.990</w:t>
            </w:r>
          </w:p>
        </w:tc>
        <w:tc>
          <w:tcPr>
            <w:tcW w:type="dxa" w:w="2160"/>
          </w:tcPr>
          <w:p>
            <w:r>
              <w:t>+0.062</w:t>
            </w:r>
          </w:p>
        </w:tc>
      </w:tr>
      <w:tr>
        <w:tc>
          <w:tcPr>
            <w:tcW w:type="dxa" w:w="2160"/>
          </w:tcPr>
          <w:p>
            <w:r>
              <w:t>Suggestive content</w:t>
            </w:r>
          </w:p>
        </w:tc>
        <w:tc>
          <w:tcPr>
            <w:tcW w:type="dxa" w:w="2160"/>
          </w:tcPr>
          <w:p>
            <w:r>
              <w:t>0.683</w:t>
            </w:r>
          </w:p>
        </w:tc>
        <w:tc>
          <w:tcPr>
            <w:tcW w:type="dxa" w:w="2160"/>
          </w:tcPr>
          <w:p>
            <w:r>
              <w:t>0.788</w:t>
            </w:r>
          </w:p>
        </w:tc>
        <w:tc>
          <w:tcPr>
            <w:tcW w:type="dxa" w:w="2160"/>
          </w:tcPr>
          <w:p>
            <w:r>
              <w:t>+0.106</w:t>
            </w:r>
          </w:p>
        </w:tc>
      </w:tr>
      <w:tr>
        <w:tc>
          <w:tcPr>
            <w:tcW w:type="dxa" w:w="2160"/>
          </w:tcPr>
          <w:p>
            <w:r>
              <w:t>Sex toy present</w:t>
            </w:r>
          </w:p>
        </w:tc>
        <w:tc>
          <w:tcPr>
            <w:tcW w:type="dxa" w:w="2160"/>
          </w:tcPr>
          <w:p>
            <w:r>
              <w:t>0.889</w:t>
            </w:r>
          </w:p>
        </w:tc>
        <w:tc>
          <w:tcPr>
            <w:tcW w:type="dxa" w:w="2160"/>
          </w:tcPr>
          <w:p>
            <w:r>
              <w:t>0.923</w:t>
            </w:r>
          </w:p>
        </w:tc>
        <w:tc>
          <w:tcPr>
            <w:tcW w:type="dxa" w:w="2160"/>
          </w:tcPr>
          <w:p>
            <w:r>
              <w:t>+0.034</w:t>
            </w:r>
          </w:p>
        </w:tc>
      </w:tr>
      <w:tr>
        <w:tc>
          <w:tcPr>
            <w:tcW w:type="dxa" w:w="2160"/>
          </w:tcPr>
          <w:p>
            <w:r>
              <w:t>Visible text</w:t>
            </w:r>
          </w:p>
        </w:tc>
        <w:tc>
          <w:tcPr>
            <w:tcW w:type="dxa" w:w="2160"/>
          </w:tcPr>
          <w:p>
            <w:r>
              <w:t>0.815</w:t>
            </w:r>
          </w:p>
        </w:tc>
        <w:tc>
          <w:tcPr>
            <w:tcW w:type="dxa" w:w="2160"/>
          </w:tcPr>
          <w:p>
            <w:r>
              <w:t>0.911</w:t>
            </w:r>
          </w:p>
        </w:tc>
        <w:tc>
          <w:tcPr>
            <w:tcW w:type="dxa" w:w="2160"/>
          </w:tcPr>
          <w:p>
            <w:r>
              <w:t>+0.096</w:t>
            </w:r>
          </w:p>
        </w:tc>
      </w:tr>
    </w:tbl>
    <w:p/>
    <w:p>
      <w:r>
        <w:rPr>
          <w:b w:val="0"/>
          <w:i w:val="0"/>
        </w:rPr>
        <w:t>The self-supervised backbone outperforms the lightweight backbone on 13 of 16 categories, with the largest gains on suggestive content (+0.106), visible text (+0.096), personal data (+0.091), and comic pornographic content (+0.062). The lightweight backbone is marginally ahead only on the male-present and multiple-people categories, by a small margin (−0.012 to −0.015) that is plausibly within noise at this test-set size. Suggestive content is the weakest category for both backbones (0.683 / 0.788), which suggests the concept itself — implied nudity or a suggestive pose without explicit content — is inherently ambiguous and/or under-represented in training data, rather than a backbone-specific weakness.</w:t>
      </w:r>
    </w:p>
    <w:p>
      <w:pPr>
        <w:pStyle w:val="Heading2"/>
      </w:pPr>
      <w:r>
        <w:t>6.3 Video-Level Results</w:t>
      </w:r>
    </w:p>
    <w:p>
      <w:r>
        <w:rPr>
          <w:b w:val="0"/>
          <w:i w:val="0"/>
        </w:rPr>
        <w:t>The video-level benchmark evaluates the full downstream pipeline: sliding-window frame extraction, per-frame scoring of two trigger categories (exposed female anatomy and male sexual content), and maximum-aggregation into a video-level accept/reject verdict, across 70 videos (37 accept / 33 reject).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rPr>
              <w:t>Metric</w:t>
            </w:r>
          </w:p>
        </w:tc>
        <w:tc>
          <w:tcPr>
            <w:tcW w:type="dxa" w:w="2160"/>
            <w:shd w:val="clear" w:color="auto" w:fill="2F5496"/>
          </w:tcPr>
          <w:p>
            <w:r/>
            <w:r>
              <w:rPr>
                <w:b/>
                <w:color w:val="FFFFFF"/>
              </w:rPr>
              <w:t>Lightweight backbone</w:t>
            </w:r>
          </w:p>
        </w:tc>
        <w:tc>
          <w:tcPr>
            <w:tcW w:type="dxa" w:w="2160"/>
            <w:shd w:val="clear" w:color="auto" w:fill="2F5496"/>
          </w:tcPr>
          <w:p>
            <w:r/>
            <w:r>
              <w:rPr>
                <w:b/>
                <w:color w:val="FFFFFF"/>
              </w:rPr>
              <w:t>Self-supervised backbone</w:t>
            </w:r>
          </w:p>
        </w:tc>
        <w:tc>
          <w:tcPr>
            <w:tcW w:type="dxa" w:w="2160"/>
            <w:shd w:val="clear" w:color="auto" w:fill="2F5496"/>
          </w:tcPr>
          <w:p>
            <w:r/>
            <w:r>
              <w:rPr>
                <w:b/>
                <w:color w:val="FFFFFF"/>
              </w:rPr>
              <w:t>Difference</w:t>
            </w:r>
          </w:p>
        </w:tc>
      </w:tr>
      <w:tr>
        <w:tc>
          <w:tcPr>
            <w:tcW w:type="dxa" w:w="2160"/>
          </w:tcPr>
          <w:p>
            <w:r>
              <w:t>Accuracy</w:t>
            </w:r>
          </w:p>
        </w:tc>
        <w:tc>
          <w:tcPr>
            <w:tcW w:type="dxa" w:w="2160"/>
          </w:tcPr>
          <w:p>
            <w:r>
              <w:t>0.7714</w:t>
            </w:r>
          </w:p>
        </w:tc>
        <w:tc>
          <w:tcPr>
            <w:tcW w:type="dxa" w:w="2160"/>
          </w:tcPr>
          <w:p>
            <w:r>
              <w:t>0.9143</w:t>
            </w:r>
          </w:p>
        </w:tc>
        <w:tc>
          <w:tcPr>
            <w:tcW w:type="dxa" w:w="2160"/>
          </w:tcPr>
          <w:p>
            <w:r>
              <w:t>+0.1429</w:t>
            </w:r>
          </w:p>
        </w:tc>
      </w:tr>
      <w:tr>
        <w:tc>
          <w:tcPr>
            <w:tcW w:type="dxa" w:w="2160"/>
          </w:tcPr>
          <w:p>
            <w:r>
              <w:t>Precision (reject)</w:t>
            </w:r>
          </w:p>
        </w:tc>
        <w:tc>
          <w:tcPr>
            <w:tcW w:type="dxa" w:w="2160"/>
          </w:tcPr>
          <w:p>
            <w:r>
              <w:t>0.7073</w:t>
            </w:r>
          </w:p>
        </w:tc>
        <w:tc>
          <w:tcPr>
            <w:tcW w:type="dxa" w:w="2160"/>
          </w:tcPr>
          <w:p>
            <w:r>
              <w:t>0.8857</w:t>
            </w:r>
          </w:p>
        </w:tc>
        <w:tc>
          <w:tcPr>
            <w:tcW w:type="dxa" w:w="2160"/>
          </w:tcPr>
          <w:p>
            <w:r>
              <w:t>+0.1784</w:t>
            </w:r>
          </w:p>
        </w:tc>
      </w:tr>
      <w:tr>
        <w:tc>
          <w:tcPr>
            <w:tcW w:type="dxa" w:w="2160"/>
          </w:tcPr>
          <w:p>
            <w:r>
              <w:t>Recall (reject)</w:t>
            </w:r>
          </w:p>
        </w:tc>
        <w:tc>
          <w:tcPr>
            <w:tcW w:type="dxa" w:w="2160"/>
          </w:tcPr>
          <w:p>
            <w:r>
              <w:t>0.8788</w:t>
            </w:r>
          </w:p>
        </w:tc>
        <w:tc>
          <w:tcPr>
            <w:tcW w:type="dxa" w:w="2160"/>
          </w:tcPr>
          <w:p>
            <w:r>
              <w:t>0.9394</w:t>
            </w:r>
          </w:p>
        </w:tc>
        <w:tc>
          <w:tcPr>
            <w:tcW w:type="dxa" w:w="2160"/>
          </w:tcPr>
          <w:p>
            <w:r>
              <w:t>+0.0606</w:t>
            </w:r>
          </w:p>
        </w:tc>
      </w:tr>
      <w:tr>
        <w:tc>
          <w:tcPr>
            <w:tcW w:type="dxa" w:w="2160"/>
          </w:tcPr>
          <w:p>
            <w:r>
              <w:t>False-positive rate (accept video flagged reject)</w:t>
            </w:r>
          </w:p>
        </w:tc>
        <w:tc>
          <w:tcPr>
            <w:tcW w:type="dxa" w:w="2160"/>
          </w:tcPr>
          <w:p>
            <w:r>
              <w:t>0.3243 (12/37)</w:t>
            </w:r>
          </w:p>
        </w:tc>
        <w:tc>
          <w:tcPr>
            <w:tcW w:type="dxa" w:w="2160"/>
          </w:tcPr>
          <w:p>
            <w:r>
              <w:t>0.1081 (4/37)</w:t>
            </w:r>
          </w:p>
        </w:tc>
        <w:tc>
          <w:tcPr>
            <w:tcW w:type="dxa" w:w="2160"/>
          </w:tcPr>
          <w:p>
            <w:r>
              <w:t>−0.2162</w:t>
            </w:r>
          </w:p>
        </w:tc>
      </w:tr>
      <w:tr>
        <w:tc>
          <w:tcPr>
            <w:tcW w:type="dxa" w:w="2160"/>
          </w:tcPr>
          <w:p>
            <w:r>
              <w:t>False negatives (reject video missed)</w:t>
            </w:r>
          </w:p>
        </w:tc>
        <w:tc>
          <w:tcPr>
            <w:tcW w:type="dxa" w:w="2160"/>
          </w:tcPr>
          <w:p>
            <w:r>
              <w:t>4</w:t>
            </w:r>
          </w:p>
        </w:tc>
        <w:tc>
          <w:tcPr>
            <w:tcW w:type="dxa" w:w="2160"/>
          </w:tcPr>
          <w:p>
            <w:r>
              <w:t>2</w:t>
            </w:r>
          </w:p>
        </w:tc>
        <w:tc>
          <w:tcPr>
            <w:tcW w:type="dxa" w:w="2160"/>
          </w:tcPr>
          <w:p>
            <w:r>
              <w:t>−2</w:t>
            </w:r>
          </w:p>
        </w:tc>
      </w:tr>
    </w:tbl>
    <w:p/>
    <w:p>
      <w:r>
        <w:rPr>
          <w:b w:val="0"/>
          <w:i w:val="0"/>
        </w:rPr>
        <w:t>The gap between the two backbones widens substantially at the video level relative to the frame-level benchmark. The lightweight backbone misclassifies 12 of 37 accept videos as reject, predominantly driven by borderline confidence scores (in the 0.65–0.78 range) on the exposed-anatomy trigger category, versus only 4 misfires for the self-supervised backbone. Because video-level aggregation takes a maximum over all sampled frames, small amounts of per-frame score noise compound across hundreds of frames per video; a modest per-category F1 gap at the frame level (roughly 0.03 for the exposed-anatomy category) therefore produces a much larger real-world reliability gap once aggregated to the video level.</w:t>
      </w:r>
    </w:p>
    <w:p>
      <w:pPr>
        <w:pStyle w:val="Heading2"/>
      </w:pPr>
      <w:r>
        <w:t>6.4 Inference Speed / Efficiency Trade-off</w:t>
      </w:r>
    </w:p>
    <w:p>
      <w:r>
        <w:rPr>
          <w:b w:val="0"/>
          <w:i w:val="0"/>
        </w:rPr>
        <w:t>The self-supervised backbone is approximately 5% slower than the lightweight backbone per frame (312 vs. 329 fps) and requires loading a larger pretrained weight file, plus a frozen-block configuration setting that adds a small amount of configuration surface area relative to the lightweight backbone's simpler end-to-end fine-tuning. Peak memory usage is effectively identical between the two backbones.</w:t>
      </w:r>
    </w:p>
    <w:p>
      <w:pPr>
        <w:pStyle w:val="Heading2"/>
      </w:pPr>
      <w:r>
        <w:t>6.5 Discussion</w:t>
      </w:r>
    </w:p>
    <w:p>
      <w:r>
        <w:rPr>
          <w:b w:val="0"/>
          <w:i w:val="0"/>
        </w:rPr>
        <w:t>Overall recommendation: the self-supervised backbone is the preferred choice for this task. A 5% inference-speed cost is a favorable trade against a threefold reduction in video-level false-positive rate, given that over-blocking legitimate content carries direct business cost in the form of user complaints and increased manual-review queue volume. The trade-offs are summarized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
              <w:rPr>
                <w:b/>
                <w:color w:val="FFFFFF"/>
              </w:rPr>
            </w:r>
          </w:p>
        </w:tc>
        <w:tc>
          <w:tcPr>
            <w:tcW w:type="dxa" w:w="2880"/>
            <w:shd w:val="clear" w:color="auto" w:fill="2F5496"/>
          </w:tcPr>
          <w:p>
            <w:r/>
            <w:r>
              <w:rPr>
                <w:b/>
                <w:color w:val="FFFFFF"/>
              </w:rPr>
              <w:t>Lightweight backbone</w:t>
            </w:r>
          </w:p>
        </w:tc>
        <w:tc>
          <w:tcPr>
            <w:tcW w:type="dxa" w:w="2880"/>
            <w:shd w:val="clear" w:color="auto" w:fill="2F5496"/>
          </w:tcPr>
          <w:p>
            <w:r/>
            <w:r>
              <w:rPr>
                <w:b/>
                <w:color w:val="FFFFFF"/>
              </w:rPr>
              <w:t>Self-supervised backbone</w:t>
            </w:r>
          </w:p>
        </w:tc>
      </w:tr>
      <w:tr>
        <w:tc>
          <w:tcPr>
            <w:tcW w:type="dxa" w:w="2880"/>
          </w:tcPr>
          <w:p>
            <w:r>
              <w:t>Advantages</w:t>
            </w:r>
          </w:p>
        </w:tc>
        <w:tc>
          <w:tcPr>
            <w:tcW w:type="dxa" w:w="2880"/>
          </w:tcPr>
          <w:p>
            <w:r>
              <w:t>About 5% faster inference; no large external pretrained-weight dependency; simpler end-to-end fine-tuning (no frozen-block asymmetry)</w:t>
            </w:r>
          </w:p>
        </w:tc>
        <w:tc>
          <w:tcPr>
            <w:tcW w:type="dxa" w:w="2880"/>
          </w:tcPr>
          <w:p>
            <w:r>
              <w:t>Higher macro F1 and subset accuracy on every held-out evaluation; much lower video-level false-positive rate (10.8% vs. 32.4%); better recall on reject content (93.9% vs. 87.9%); stronger transfer to hard/ambiguous categories (suggestive content, visible text, personal data) owing to large-scale self-supervised pretraining</w:t>
            </w:r>
          </w:p>
        </w:tc>
      </w:tr>
      <w:tr>
        <w:tc>
          <w:tcPr>
            <w:tcW w:type="dxa" w:w="2880"/>
          </w:tcPr>
          <w:p>
            <w:r>
              <w:t>Disadvantages</w:t>
            </w:r>
          </w:p>
        </w:tc>
        <w:tc>
          <w:tcPr>
            <w:tcW w:type="dxa" w:w="2880"/>
          </w:tcPr>
          <w:p>
            <w:r>
              <w:t>Threefold worse video-level false-positive rate (costly in production — over-blocking legitimate content); weakest on exactly the categories that matter most for borderline decisions; frame-level score noise compounds badly under maximum-aggregation</w:t>
            </w:r>
          </w:p>
        </w:tc>
        <w:tc>
          <w:tcPr>
            <w:tcW w:type="dxa" w:w="2880"/>
          </w:tcPr>
          <w:p>
            <w:r>
              <w:t>About 5% slower per-frame inference; requires loading a larger pretrained weight file and a frozen-block configuration setting; slightly worse on the male-present / multiple-people categories (small, likely noise)</w:t>
            </w:r>
          </w:p>
        </w:tc>
      </w:tr>
    </w:tbl>
    <w:p/>
    <w:p>
      <w:pPr>
        <w:pStyle w:val="Heading1"/>
      </w:pPr>
      <w:r>
        <w:t>7. Inference and Serving Infrastructure</w:t>
      </w:r>
    </w:p>
    <w:p>
      <w:r>
        <w:rPr>
          <w:b w:val="0"/>
          <w:i w:val="0"/>
        </w:rPr>
        <w:t>The system exposes three progressively more production-oriented serving surfaces: offline tools for development and demonstration, a standalone video sliding-window pipeline, and a productionized asynchronous job service.</w:t>
      </w:r>
    </w:p>
    <w:p>
      <w:pPr>
        <w:pStyle w:val="Heading2"/>
      </w:pPr>
      <w:r>
        <w:t>7.1 Offline Inference Tools</w:t>
      </w:r>
    </w:p>
    <w:p>
      <w:pPr>
        <w:pStyle w:val="ListBullet"/>
      </w:pPr>
      <w:r>
        <w:t>A batch/command-line inference tool that loads a trained model and runs multi-label inference over one or more images, supporting both single-image invocation and batch evaluation against a labeled dataset with macro-F1 scoring.</w:t>
      </w:r>
    </w:p>
    <w:p>
      <w:pPr>
        <w:pStyle w:val="ListBullet"/>
      </w:pPr>
      <w:r>
        <w:t>A web-based demonstration interface (built on a standard interactive-demo framework) offering an image-upload interface with per-category probability display and an auto-generated prediction API.</w:t>
      </w:r>
    </w:p>
    <w:p>
      <w:pPr>
        <w:pStyle w:val="ListBullet"/>
      </w:pPr>
      <w:r>
        <w:t>An interactive command-line tool that prompts for image paths and prints ranked per-category probabilities against the configured decision thresholds.</w:t>
      </w:r>
    </w:p>
    <w:p>
      <w:pPr>
        <w:pStyle w:val="Heading2"/>
      </w:pPr>
      <w:r>
        <w:t>7.2 Video Sliding-Window Pipeline</w:t>
      </w:r>
    </w:p>
    <w:p>
      <w:r>
        <w:rPr>
          <w:b w:val="0"/>
          <w:i w:val="0"/>
        </w:rPr>
        <w:t>A dedicated video pipeline implements the general video-moderation workflow underlying the video-level screening task:</w:t>
      </w:r>
    </w:p>
    <w:p>
      <w:pPr>
        <w:pStyle w:val="ListBullet"/>
      </w:pPr>
      <w:r>
        <w:t>Video metadata extraction and frame sampling at a configurable target frame rate.</w:t>
      </w:r>
    </w:p>
    <w:p>
      <w:pPr>
        <w:pStyle w:val="ListBullet"/>
      </w:pPr>
      <w:r>
        <w:t>Per-window peak-detection tracking, so that transient high-confidence frames are captured as moderation evidence rather than lost to aggregation.</w:t>
      </w:r>
    </w:p>
    <w:p>
      <w:pPr>
        <w:pStyle w:val="ListBullet"/>
      </w:pPr>
      <w:r>
        <w:t>Evidence-frame saving, detection overlay drawing, and structured result export for downstream review or auditing.</w:t>
      </w:r>
    </w:p>
    <w:p>
      <w:pPr>
        <w:pStyle w:val="ListBullet"/>
      </w:pPr>
      <w:r>
        <w:t>A dedicated evaluation mode that runs the full pipeline against a labeled video test set and reports video-level accuracy, precision/recall, and false-positive rate (used to produce the Section 6.3 results), with per-category configurable confidence thresholds for the trigger categories.</w:t>
      </w:r>
    </w:p>
    <w:p>
      <w:pPr>
        <w:pStyle w:val="Heading2"/>
      </w:pPr>
      <w:r>
        <w:t>7.3 Production Asynchronous Service</w:t>
      </w:r>
    </w:p>
    <w:p>
      <w:r>
        <w:rPr>
          <w:b w:val="0"/>
          <w:i w:val="0"/>
        </w:rPr>
        <w:t>The most recent architectural addition is a web-based asynchronous job service, organized as a ports-and-adapters (hexagonal) architecture that separates the core domain logic from the concrete infrastructure it runs on:</w:t>
      </w:r>
    </w:p>
    <w:p>
      <w:pPr>
        <w:pStyle w:val="ListBullet"/>
      </w:pPr>
      <w:r>
        <w:t>An API layer exposes endpoints for submitting image and video classification jobs, plus a health-check endpoint. Job submission returns an acknowledgement with a job identifier; results are delivered asynchronously via a configured callback address.</w:t>
      </w:r>
    </w:p>
    <w:p>
      <w:pPr>
        <w:pStyle w:val="ListBullet"/>
      </w:pPr>
      <w:r>
        <w:t>A domain layer defines the core job entity, media type, and classification-result concepts, along with a job lifecycle (queued → downloading → processing → uploading → callback → done/failed), and a set of abstract interfaces for callback delivery, job storage, queuing, file storage, and video handling that decouple the domain from any specific infrastructure choice.</w:t>
      </w:r>
    </w:p>
    <w:p>
      <w:pPr>
        <w:pStyle w:val="ListBullet"/>
      </w:pPr>
      <w:r>
        <w:t>An application layer implements the classification and job-submission services and the corresponding use cases.</w:t>
      </w:r>
    </w:p>
    <w:p>
      <w:pPr>
        <w:pStyle w:val="ListBullet"/>
      </w:pPr>
      <w:r>
        <w:t>An infrastructure layer provides concrete implementations: the model factory and two-stage coarse/refine classifier adapter described in Section 4.4, HTTP-based callback delivery, local file storage, an in-memory queue and job store, and a video-processing adapter built on a standard video-handling library.</w:t>
      </w:r>
    </w:p>
    <w:p>
      <w:pPr>
        <w:pStyle w:val="ListBullet"/>
      </w:pPr>
      <w:r>
        <w:t>A worker layer runs four concurrent processing stages (download, process, upload, callback) that drive jobs through the lifecycle above, wired together through a small dependency-injection container.</w:t>
      </w:r>
    </w:p>
    <w:p>
      <w:pPr>
        <w:pStyle w:val="Heading2"/>
      </w:pPr>
      <w:r>
        <w:t>7.4 Current Limitations</w:t>
      </w:r>
    </w:p>
    <w:p>
      <w:pPr>
        <w:pStyle w:val="ListBullet"/>
      </w:pPr>
      <w:r>
        <w:t>The queue and job-store components are in-memory implementations, appropriate for development and single-node deployment but not persistent across restarts or usable across multiple worker processes.</w:t>
      </w:r>
    </w:p>
    <w:p>
      <w:pPr>
        <w:pStyle w:val="ListBullet"/>
      </w:pPr>
      <w:r>
        <w:t>No distributed or shared storage backend is yet wired in (local file storage only).</w:t>
      </w:r>
    </w:p>
    <w:p>
      <w:pPr>
        <w:pStyle w:val="ListBullet"/>
      </w:pPr>
      <w:r>
        <w:t>These are natural next steps if the asynchronous service is promoted from its current single-node form to a horizontally scaled production deployment (see Section 9.3).</w:t>
      </w:r>
    </w:p>
    <w:p>
      <w:pPr>
        <w:pStyle w:val="Heading1"/>
      </w:pPr>
      <w:r>
        <w:t>8. Development Timeline</w:t>
      </w:r>
    </w:p>
    <w:p>
      <w:r>
        <w:rPr>
          <w:b w:val="0"/>
          <w:i w:val="0"/>
        </w:rPr>
        <w:t>The recorded project history is compact, reflecting a young or aggressively-consolidated history relative to the volume of functionality present in the current state of the project; several tools and configuration variants postdate the last recorded milestone and are best understood as ongoing iteration rather than a gap in activity.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
              <w:rPr>
                <w:b/>
                <w:color w:val="FFFFFF"/>
              </w:rPr>
              <w:t>Date</w:t>
            </w:r>
          </w:p>
        </w:tc>
        <w:tc>
          <w:tcPr>
            <w:tcW w:type="dxa" w:w="4320"/>
            <w:shd w:val="clear" w:color="auto" w:fill="2F5496"/>
          </w:tcPr>
          <w:p>
            <w:r/>
            <w:r>
              <w:rPr>
                <w:b/>
                <w:color w:val="FFFFFF"/>
              </w:rPr>
              <w:t>Milestone</w:t>
            </w:r>
          </w:p>
        </w:tc>
      </w:tr>
      <w:tr>
        <w:tc>
          <w:tcPr>
            <w:tcW w:type="dxa" w:w="4320"/>
          </w:tcPr>
          <w:p>
            <w:r>
              <w:t>2026-03-30</w:t>
            </w:r>
          </w:p>
        </w:tc>
        <w:tc>
          <w:tcPr>
            <w:tcW w:type="dxa" w:w="4320"/>
          </w:tcPr>
          <w:p>
            <w:r>
              <w:t>Initial project setup; bootstrap single-label classification training and evaluation</w:t>
            </w:r>
          </w:p>
        </w:tc>
      </w:tr>
      <w:tr>
        <w:tc>
          <w:tcPr>
            <w:tcW w:type="dxa" w:w="4320"/>
          </w:tcPr>
          <w:p>
            <w:r>
              <w:t>2026-03-30</w:t>
            </w:r>
          </w:p>
        </w:tc>
        <w:tc>
          <w:tcPr>
            <w:tcW w:type="dxa" w:w="4320"/>
          </w:tcPr>
          <w:p>
            <w:r>
              <w:t>Training/evaluation logic updates; checkpoint saving implemented</w:t>
            </w:r>
          </w:p>
        </w:tc>
      </w:tr>
      <w:tr>
        <w:tc>
          <w:tcPr>
            <w:tcW w:type="dxa" w:w="4320"/>
          </w:tcPr>
          <w:p>
            <w:r>
              <w:t>2026-04-21</w:t>
            </w:r>
          </w:p>
        </w:tc>
        <w:tc>
          <w:tcPr>
            <w:tcW w:type="dxa" w:w="4320"/>
          </w:tcPr>
          <w:p>
            <w:r>
              <w:t>Dataset handling, transform, and loss-function updates for the classification task</w:t>
            </w:r>
          </w:p>
        </w:tc>
      </w:tr>
      <w:tr>
        <w:tc>
          <w:tcPr>
            <w:tcW w:type="dxa" w:w="4320"/>
          </w:tcPr>
          <w:p>
            <w:r>
              <w:t>2026-05-06</w:t>
            </w:r>
          </w:p>
        </w:tc>
        <w:tc>
          <w:tcPr>
            <w:tcW w:type="dxa" w:w="4320"/>
          </w:tcPr>
          <w:p>
            <w:r>
              <w:t>Nudity-detection support added; dataset restructuring; training-configuration optimization</w:t>
            </w:r>
          </w:p>
        </w:tc>
      </w:tr>
      <w:tr>
        <w:tc>
          <w:tcPr>
            <w:tcW w:type="dxa" w:w="4320"/>
          </w:tcPr>
          <w:p>
            <w:r>
              <w:t>2026-05-14</w:t>
            </w:r>
          </w:p>
        </w:tc>
        <w:tc>
          <w:tcPr>
            <w:tcW w:type="dxa" w:w="4320"/>
          </w:tcPr>
          <w:p>
            <w:r>
              <w:t>Asynchronous job service integrated, with job-submission and classification endpoints; overall application architecture restructured into a layered, ports-and-adapters design</w:t>
            </w:r>
          </w:p>
        </w:tc>
      </w:tr>
      <w:tr>
        <w:tc>
          <w:tcPr>
            <w:tcW w:type="dxa" w:w="4320"/>
          </w:tcPr>
          <w:p>
            <w:r>
              <w:t>2026-05-14</w:t>
            </w:r>
          </w:p>
        </w:tc>
        <w:tc>
          <w:tcPr>
            <w:tcW w:type="dxa" w:w="4320"/>
          </w:tcPr>
          <w:p>
            <w:r>
              <w:t>Confusion-matrix visualization added; 15-category training configuration; parallel dataset copying for faster materialization</w:t>
            </w:r>
          </w:p>
        </w:tc>
      </w:tr>
      <w:tr>
        <w:tc>
          <w:tcPr>
            <w:tcW w:type="dxa" w:w="4320"/>
          </w:tcPr>
          <w:p>
            <w:r>
              <w:t>2026-07-15</w:t>
            </w:r>
          </w:p>
        </w:tc>
        <w:tc>
          <w:tcPr>
            <w:tcW w:type="dxa" w:w="4320"/>
          </w:tcPr>
          <w:p>
            <w:r>
              <w:t>Backbone comparison study completed — basis for Section 6</w:t>
            </w:r>
          </w:p>
        </w:tc>
      </w:tr>
    </w:tbl>
    <w:p/>
    <w:p>
      <w:pPr>
        <w:pStyle w:val="Heading1"/>
      </w:pPr>
      <w:r>
        <w:t>9. Conclusions and Recommendations</w:t>
      </w:r>
    </w:p>
    <w:p>
      <w:pPr>
        <w:pStyle w:val="Heading2"/>
      </w:pPr>
      <w:r>
        <w:t>9.1 Summary of Findings</w:t>
      </w:r>
    </w:p>
    <w:p>
      <w:r>
        <w:rPr>
          <w:b w:val="0"/>
          <w:i w:val="0"/>
        </w:rPr>
        <w:t>The system successfully reformulates a content-moderation classification problem from single-label to multi-label to better match real annotation structure, and demonstrates — via a controlled backbone comparison — that a self-supervised, large-scale-pretrained backbone provides materially better production reliability than a lightweight, from-scratch-trained backbone, particularly at the video level where false positives compound under maximum-aggregation. The supporting data pipeline (auto-labeling → human review → consolidation) and serving infrastructure (offline tools → sliding-window video pipeline → asynchronous job service) constitute a complete, end-to-end system from raw data to a production-facing API.</w:t>
      </w:r>
    </w:p>
    <w:p>
      <w:pPr>
        <w:pStyle w:val="Heading2"/>
      </w:pPr>
      <w:r>
        <w:t>9.2 Recommendations</w:t>
      </w:r>
    </w:p>
    <w:p>
      <w:pPr>
        <w:pStyle w:val="ListNumber"/>
      </w:pPr>
      <w:r>
        <w:t>Per-category threshold calibration — replace the single global decision threshold (0.35) with category-specific thresholds tuned on a validation precision-recall curve, particularly for suggestive content and visible text.</w:t>
      </w:r>
    </w:p>
    <w:p>
      <w:pPr>
        <w:pStyle w:val="ListNumber"/>
      </w:pPr>
      <w:r>
        <w:t>Targeted data collection for the suggestive-content category — the lowest-F1 category on both backbones, suggesting a label/data quality issue rather than a backbone limitation; audit annotation consistency and add borderline / hard-negative examples.</w:t>
      </w:r>
    </w:p>
    <w:p>
      <w:pPr>
        <w:pStyle w:val="ListNumber"/>
      </w:pPr>
      <w:r>
        <w:t>Investigate the lightweight backbone's video-level false positives directly — inspect the evidence frames behind the 12 false-positive accept videos (clustering around confidence scores of 0.65–0.78 on the exposed-anatomy trigger) to determine whether hard-negative mining independent of backbone choice would help.</w:t>
      </w:r>
    </w:p>
    <w:p>
      <w:pPr>
        <w:pStyle w:val="ListNumber"/>
      </w:pPr>
      <w:r>
        <w:t>More robust video-level aggregation — replace maximum-aggregation with an approach less sensitive to a single noisy frame, such as requiring several consecutive frames above threshold or a top-k mean.</w:t>
      </w:r>
    </w:p>
    <w:p>
      <w:pPr>
        <w:pStyle w:val="ListNumber"/>
      </w:pPr>
      <w:r>
        <w:t>Expand the video-level evaluation set — 70 videos yields wide confidence intervals on accuracy and false-positive rate; a few hundred videos would make backbone comparisons and future regression testing more reliable.</w:t>
      </w:r>
    </w:p>
    <w:p>
      <w:pPr>
        <w:pStyle w:val="ListNumber"/>
      </w:pPr>
      <w:r>
        <w:t>Consider knowledge distillation — if inference speed is a binding constraint at scale, distill the self-supervised backbone's frame-level predictions into the smaller lightweight backbone rather than training the lightweight backbone from labels directly, to try to recover most of the accuracy gain without the larger backbone's dependency.</w:t>
      </w:r>
    </w:p>
    <w:p>
      <w:pPr>
        <w:pStyle w:val="ListNumber"/>
      </w:pPr>
      <w:r>
        <w:t>Re-run with matched training budgets — confirm both backbones were trained to a comparable number of effective steps at their respective best checkpoints (not early-stopped) so the comparison in Section 6 is not confounded by under- or over-training.</w:t>
      </w:r>
    </w:p>
    <w:p>
      <w:pPr>
        <w:pStyle w:val="Heading2"/>
      </w:pPr>
      <w:r>
        <w:t>9.3 Future Work</w:t>
      </w:r>
    </w:p>
    <w:p>
      <w:pPr>
        <w:pStyle w:val="ListBullet"/>
      </w:pPr>
      <w:r>
        <w:t>Replace the in-memory queue and job-store components in the asynchronous service with persistent, horizontally-scalable implementations ahead of any multi-node production deployment.</w:t>
      </w:r>
    </w:p>
    <w:p>
      <w:pPr>
        <w:pStyle w:val="ListBullet"/>
      </w:pPr>
      <w:r>
        <w:t>Broaden category coverage as new moderation categories are identified by the client.</w:t>
      </w:r>
    </w:p>
    <w:p>
      <w:pPr>
        <w:pStyle w:val="ListBullet"/>
      </w:pPr>
      <w:r>
        <w:t>Continue tightening the auto-labeling → human-review loop (for example, active-learning-style prioritization of images where the coarse classifier is least confident) to reduce human review cost as the dataset grows.</w:t>
      </w:r>
    </w:p>
    <w:p>
      <w:r>
        <w:br w:type="page"/>
      </w:r>
    </w:p>
    <w:p>
      <w:pPr>
        <w:pStyle w:val="Heading1"/>
      </w:pPr>
      <w:r>
        <w:t>Appendix A: Task and Dataset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rPr>
              <w:t>Configuration</w:t>
            </w:r>
          </w:p>
        </w:tc>
        <w:tc>
          <w:tcPr>
            <w:tcW w:type="dxa" w:w="2160"/>
            <w:shd w:val="clear" w:color="auto" w:fill="2F5496"/>
          </w:tcPr>
          <w:p>
            <w:r/>
            <w:r>
              <w:rPr>
                <w:b/>
                <w:color w:val="FFFFFF"/>
              </w:rPr>
              <w:t>Task</w:t>
            </w:r>
          </w:p>
        </w:tc>
        <w:tc>
          <w:tcPr>
            <w:tcW w:type="dxa" w:w="2160"/>
            <w:shd w:val="clear" w:color="auto" w:fill="2F5496"/>
          </w:tcPr>
          <w:p>
            <w:r/>
            <w:r>
              <w:rPr>
                <w:b/>
                <w:color w:val="FFFFFF"/>
              </w:rPr>
              <w:t>Categories</w:t>
            </w:r>
          </w:p>
        </w:tc>
        <w:tc>
          <w:tcPr>
            <w:tcW w:type="dxa" w:w="2160"/>
            <w:shd w:val="clear" w:color="auto" w:fill="2F5496"/>
          </w:tcPr>
          <w:p>
            <w:r/>
            <w:r>
              <w:rPr>
                <w:b/>
                <w:color w:val="FFFFFF"/>
              </w:rPr>
              <w:t>Backbone</w:t>
            </w:r>
          </w:p>
        </w:tc>
      </w:tr>
      <w:tr>
        <w:tc>
          <w:tcPr>
            <w:tcW w:type="dxa" w:w="2160"/>
          </w:tcPr>
          <w:p>
            <w:r>
              <w:t>Legacy single-label classification</w:t>
            </w:r>
          </w:p>
        </w:tc>
        <w:tc>
          <w:tcPr>
            <w:tcW w:type="dxa" w:w="2160"/>
          </w:tcPr>
          <w:p>
            <w:r>
              <w:t>Single-label classification</w:t>
            </w:r>
          </w:p>
        </w:tc>
        <w:tc>
          <w:tcPr>
            <w:tcW w:type="dxa" w:w="2160"/>
          </w:tcPr>
          <w:p>
            <w:r>
              <w:t>13 / 15 (with class merging)</w:t>
            </w:r>
          </w:p>
        </w:tc>
        <w:tc>
          <w:tcPr>
            <w:tcW w:type="dxa" w:w="2160"/>
          </w:tcPr>
          <w:p>
            <w:r>
              <w:t>n/a (dataset-level setting)</w:t>
            </w:r>
          </w:p>
        </w:tc>
      </w:tr>
      <w:tr>
        <w:tc>
          <w:tcPr>
            <w:tcW w:type="dxa" w:w="2160"/>
          </w:tcPr>
          <w:p>
            <w:r>
              <w:t>15-category multi-label classification</w:t>
            </w:r>
          </w:p>
        </w:tc>
        <w:tc>
          <w:tcPr>
            <w:tcW w:type="dxa" w:w="2160"/>
          </w:tcPr>
          <w:p>
            <w:r>
              <w:t>Multi-label classification</w:t>
            </w:r>
          </w:p>
        </w:tc>
        <w:tc>
          <w:tcPr>
            <w:tcW w:type="dxa" w:w="2160"/>
          </w:tcPr>
          <w:p>
            <w:r>
              <w:t>15</w:t>
            </w:r>
          </w:p>
        </w:tc>
        <w:tc>
          <w:tcPr>
            <w:tcW w:type="dxa" w:w="2160"/>
          </w:tcPr>
          <w:p>
            <w:r>
              <w:t>n/a (dataset-level setting)</w:t>
            </w:r>
          </w:p>
        </w:tc>
      </w:tr>
      <w:tr>
        <w:tc>
          <w:tcPr>
            <w:tcW w:type="dxa" w:w="2160"/>
          </w:tcPr>
          <w:p>
            <w:r>
              <w:t>3-category multi-label classification</w:t>
            </w:r>
          </w:p>
        </w:tc>
        <w:tc>
          <w:tcPr>
            <w:tcW w:type="dxa" w:w="2160"/>
          </w:tcPr>
          <w:p>
            <w:r>
              <w:t>Multi-label classification</w:t>
            </w:r>
          </w:p>
        </w:tc>
        <w:tc>
          <w:tcPr>
            <w:tcW w:type="dxa" w:w="2160"/>
          </w:tcPr>
          <w:p>
            <w:r>
              <w:t>3 (specific anatomical categories)</w:t>
            </w:r>
          </w:p>
        </w:tc>
        <w:tc>
          <w:tcPr>
            <w:tcW w:type="dxa" w:w="2160"/>
          </w:tcPr>
          <w:p>
            <w:r>
              <w:t>n/a (dataset-level setting)</w:t>
            </w:r>
          </w:p>
        </w:tc>
      </w:tr>
      <w:tr>
        <w:tc>
          <w:tcPr>
            <w:tcW w:type="dxa" w:w="2160"/>
          </w:tcPr>
          <w:p>
            <w:r>
              <w:t>4-category multi-label subset</w:t>
            </w:r>
          </w:p>
        </w:tc>
        <w:tc>
          <w:tcPr>
            <w:tcW w:type="dxa" w:w="2160"/>
          </w:tcPr>
          <w:p>
            <w:r>
              <w:t>Multi-label classification</w:t>
            </w:r>
          </w:p>
        </w:tc>
        <w:tc>
          <w:tcPr>
            <w:tcW w:type="dxa" w:w="2160"/>
          </w:tcPr>
          <w:p>
            <w:r>
              <w:t>4 (face, exposed anatomy, suggestive, explicit)</w:t>
            </w:r>
          </w:p>
        </w:tc>
        <w:tc>
          <w:tcPr>
            <w:tcW w:type="dxa" w:w="2160"/>
          </w:tcPr>
          <w:p>
            <w:r>
              <w:t>n/a (dataset-level setting)</w:t>
            </w:r>
          </w:p>
        </w:tc>
      </w:tr>
      <w:tr>
        <w:tc>
          <w:tcPr>
            <w:tcW w:type="dxa" w:w="2160"/>
          </w:tcPr>
          <w:p>
            <w:r>
              <w:t>7-category multi-label subset</w:t>
            </w:r>
          </w:p>
        </w:tc>
        <w:tc>
          <w:tcPr>
            <w:tcW w:type="dxa" w:w="2160"/>
          </w:tcPr>
          <w:p>
            <w:r>
              <w:t>Multi-label classification</w:t>
            </w:r>
          </w:p>
        </w:tc>
        <w:tc>
          <w:tcPr>
            <w:tcW w:type="dxa" w:w="2160"/>
          </w:tcPr>
          <w:p>
            <w:r>
              <w:t>7</w:t>
            </w:r>
          </w:p>
        </w:tc>
        <w:tc>
          <w:tcPr>
            <w:tcW w:type="dxa" w:w="2160"/>
          </w:tcPr>
          <w:p>
            <w:r>
              <w:t>n/a (dataset-level setting)</w:t>
            </w:r>
          </w:p>
        </w:tc>
      </w:tr>
      <w:tr>
        <w:tc>
          <w:tcPr>
            <w:tcW w:type="dxa" w:w="2160"/>
          </w:tcPr>
          <w:p>
            <w:r>
              <w:t>Flagship image/frame-level screening</w:t>
            </w:r>
          </w:p>
        </w:tc>
        <w:tc>
          <w:tcPr>
            <w:tcW w:type="dxa" w:w="2160"/>
          </w:tcPr>
          <w:p>
            <w:r>
              <w:t>Multi-label classification (primary)</w:t>
            </w:r>
          </w:p>
        </w:tc>
        <w:tc>
          <w:tcPr>
            <w:tcW w:type="dxa" w:w="2160"/>
          </w:tcPr>
          <w:p>
            <w:r>
              <w:t>16</w:t>
            </w:r>
          </w:p>
        </w:tc>
        <w:tc>
          <w:tcPr>
            <w:tcW w:type="dxa" w:w="2160"/>
          </w:tcPr>
          <w:p>
            <w:r>
              <w:t>Self-supervised vision transformer</w:t>
            </w:r>
          </w:p>
        </w:tc>
      </w:tr>
      <w:tr>
        <w:tc>
          <w:tcPr>
            <w:tcW w:type="dxa" w:w="2160"/>
          </w:tcPr>
          <w:p>
            <w:r>
              <w:t>Flagship image/frame-level screening (comparison)</w:t>
            </w:r>
          </w:p>
        </w:tc>
        <w:tc>
          <w:tcPr>
            <w:tcW w:type="dxa" w:w="2160"/>
          </w:tcPr>
          <w:p>
            <w:r>
              <w:t>Multi-label classification (primary)</w:t>
            </w:r>
          </w:p>
        </w:tc>
        <w:tc>
          <w:tcPr>
            <w:tcW w:type="dxa" w:w="2160"/>
          </w:tcPr>
          <w:p>
            <w:r>
              <w:t>16</w:t>
            </w:r>
          </w:p>
        </w:tc>
        <w:tc>
          <w:tcPr>
            <w:tcW w:type="dxa" w:w="2160"/>
          </w:tcPr>
          <w:p>
            <w:r>
              <w:t>Lightweight vision transformer</w:t>
            </w:r>
          </w:p>
        </w:tc>
      </w:tr>
      <w:tr>
        <w:tc>
          <w:tcPr>
            <w:tcW w:type="dxa" w:w="2160"/>
          </w:tcPr>
          <w:p>
            <w:r>
              <w:t>Video-level screening</w:t>
            </w:r>
          </w:p>
        </w:tc>
        <w:tc>
          <w:tcPr>
            <w:tcW w:type="dxa" w:w="2160"/>
          </w:tcPr>
          <w:p>
            <w:r>
              <w:t>Single-label classification</w:t>
            </w:r>
          </w:p>
        </w:tc>
        <w:tc>
          <w:tcPr>
            <w:tcW w:type="dxa" w:w="2160"/>
          </w:tcPr>
          <w:p>
            <w:r>
              <w:t>3</w:t>
            </w:r>
          </w:p>
        </w:tc>
        <w:tc>
          <w:tcPr>
            <w:tcW w:type="dxa" w:w="2160"/>
          </w:tcPr>
          <w:p>
            <w:r>
              <w:t>Self-supervised vision transformer</w:t>
            </w:r>
          </w:p>
        </w:tc>
      </w:tr>
      <w:tr>
        <w:tc>
          <w:tcPr>
            <w:tcW w:type="dxa" w:w="2160"/>
          </w:tcPr>
          <w:p>
            <w:r>
              <w:t>Reference/template configurations</w:t>
            </w:r>
          </w:p>
        </w:tc>
        <w:tc>
          <w:tcPr>
            <w:tcW w:type="dxa" w:w="2160"/>
          </w:tcPr>
          <w:p>
            <w:r>
              <w:t>Object detection / toy classification (not part of the moderation system)</w:t>
            </w:r>
          </w:p>
        </w:tc>
        <w:tc>
          <w:tcPr>
            <w:tcW w:type="dxa" w:w="2160"/>
          </w:tcPr>
          <w:p>
            <w:r>
              <w:t>n/a</w:t>
            </w:r>
          </w:p>
        </w:tc>
        <w:tc>
          <w:tcPr>
            <w:tcW w:type="dxa" w:w="2160"/>
          </w:tcPr>
          <w:p>
            <w:r>
              <w:t>Various</w:t>
            </w:r>
          </w:p>
        </w:tc>
      </w:tr>
    </w:tbl>
    <w:p/>
    <w:p>
      <w:r>
        <w:rPr>
          <w:b w:val="0"/>
          <w:i w:val="0"/>
        </w:rPr>
        <w:t>Full 16-category taxonomy for the flagship image/frame-level screening task: general body part, depiction of a minor, comic/illustrated content, explicit content, female present, female face, exposed female genitalia, male present, male sexual content, multiple people present, no people present, personal data visible, comic/illustrated pornographic content, suggestive content, sex toy present, visible text.</w:t>
      </w:r>
    </w:p>
    <w:p>
      <w:pPr>
        <w:pStyle w:val="Heading1"/>
      </w:pPr>
      <w:r>
        <w:t>Appendix B: Auto-Labeling Category Coverage</w:t>
      </w:r>
    </w:p>
    <w:p>
      <w:r>
        <w:rPr>
          <w:b/>
          <w:i w:val="0"/>
        </w:rPr>
        <w:t>Categories processed through the general classification service (16 categories):</w:t>
      </w:r>
    </w:p>
    <w:p>
      <w:pPr>
        <w:pStyle w:val="ListBullet"/>
      </w:pPr>
      <w:r>
        <w:t>Anal region, female face, exposed female genitalia, exposed female genitalia (mosaic/censored), female nudity, female pornographic content, female pubic hair, male present, exposed male genitalia, exposed male genitalia (mosaic/censored), male pornographic content, many people present, other, other people, sex toy, women's underwear</w:t>
      </w:r>
    </w:p>
    <w:p>
      <w:r>
        <w:rPr>
          <w:b/>
          <w:i w:val="0"/>
        </w:rPr>
        <w:t>Categories processed through the nudity-detection service (7 categories):</w:t>
      </w:r>
    </w:p>
    <w:p>
      <w:pPr>
        <w:pStyle w:val="ListBullet"/>
      </w:pPr>
      <w:r>
        <w:t>Anal region, exposed female genitalia, exposed female genitalia (mosaic/censored), female pornographic content, exposed male genitalia, exposed male genitalia (mosaic/censored), male pornographic content</w:t>
      </w:r>
    </w:p>
    <w:p>
      <w:pPr>
        <w:pStyle w:val="Heading1"/>
      </w:pPr>
      <w:r>
        <w:t>Appendix C: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F5496"/>
          </w:tcPr>
          <w:p>
            <w:r/>
            <w:r>
              <w:rPr>
                <w:b/>
                <w:color w:val="FFFFFF"/>
              </w:rPr>
              <w:t>Term</w:t>
            </w:r>
          </w:p>
        </w:tc>
        <w:tc>
          <w:tcPr>
            <w:tcW w:type="dxa" w:w="4320"/>
            <w:shd w:val="clear" w:color="auto" w:fill="2F5496"/>
          </w:tcPr>
          <w:p>
            <w:r/>
            <w:r>
              <w:rPr>
                <w:b/>
                <w:color w:val="FFFFFF"/>
              </w:rPr>
              <w:t>Definition</w:t>
            </w:r>
          </w:p>
        </w:tc>
      </w:tr>
      <w:tr>
        <w:tc>
          <w:tcPr>
            <w:tcW w:type="dxa" w:w="4320"/>
          </w:tcPr>
          <w:p>
            <w:r>
              <w:t>Image/frame-level screening</w:t>
            </w:r>
          </w:p>
        </w:tc>
        <w:tc>
          <w:tcPr>
            <w:tcW w:type="dxa" w:w="4320"/>
          </w:tcPr>
          <w:p>
            <w:r>
              <w:t>The multi-label classification task that scores a single image or video frame against 16 content categories.</w:t>
            </w:r>
          </w:p>
        </w:tc>
      </w:tr>
      <w:tr>
        <w:tc>
          <w:tcPr>
            <w:tcW w:type="dxa" w:w="4320"/>
          </w:tcPr>
          <w:p>
            <w:r>
              <w:t>Video-level screening</w:t>
            </w:r>
          </w:p>
        </w:tc>
        <w:tc>
          <w:tcPr>
            <w:tcW w:type="dxa" w:w="4320"/>
          </w:tcPr>
          <w:p>
            <w:r>
              <w:t>The task of producing a single accept/reject decision for an entire video, built on top of image/frame-level screening.</w:t>
            </w:r>
          </w:p>
        </w:tc>
      </w:tr>
      <w:tr>
        <w:tc>
          <w:tcPr>
            <w:tcW w:type="dxa" w:w="4320"/>
          </w:tcPr>
          <w:p>
            <w:r>
              <w:t>Self-supervised backbone</w:t>
            </w:r>
          </w:p>
        </w:tc>
        <w:tc>
          <w:tcPr>
            <w:tcW w:type="dxa" w:w="4320"/>
          </w:tcPr>
          <w:p>
            <w:r>
              <w:t>A vision-transformer feature extractor pretrained on a very large uncurated image corpus without label supervision.</w:t>
            </w:r>
          </w:p>
        </w:tc>
      </w:tr>
      <w:tr>
        <w:tc>
          <w:tcPr>
            <w:tcW w:type="dxa" w:w="4320"/>
          </w:tcPr>
          <w:p>
            <w:r>
              <w:t>Lightweight backbone</w:t>
            </w:r>
          </w:p>
        </w:tc>
        <w:tc>
          <w:tcPr>
            <w:tcW w:type="dxa" w:w="4320"/>
          </w:tcPr>
          <w:p>
            <w:r>
              <w:t>A smaller vision-transformer feature extractor initialized from a supervised pretraining regime, used as a faster alternative.</w:t>
            </w:r>
          </w:p>
        </w:tc>
      </w:tr>
      <w:tr>
        <w:tc>
          <w:tcPr>
            <w:tcW w:type="dxa" w:w="4320"/>
          </w:tcPr>
          <w:p>
            <w:r>
              <w:t>Macro F1</w:t>
            </w:r>
          </w:p>
        </w:tc>
        <w:tc>
          <w:tcPr>
            <w:tcW w:type="dxa" w:w="4320"/>
          </w:tcPr>
          <w:p>
            <w:r>
              <w:t>The unweighted average of per-category F1 scores; the primary multi-label evaluation metric used in this report.</w:t>
            </w:r>
          </w:p>
        </w:tc>
      </w:tr>
      <w:tr>
        <w:tc>
          <w:tcPr>
            <w:tcW w:type="dxa" w:w="4320"/>
          </w:tcPr>
          <w:p>
            <w:r>
              <w:t>Subset accuracy</w:t>
            </w:r>
          </w:p>
        </w:tc>
        <w:tc>
          <w:tcPr>
            <w:tcW w:type="dxa" w:w="4320"/>
          </w:tcPr>
          <w:p>
            <w:r>
              <w:t>The fraction of samples where the predicted category set exactly matches the ground-truth category set.</w:t>
            </w:r>
          </w:p>
        </w:tc>
      </w:tr>
      <w:tr>
        <w:tc>
          <w:tcPr>
            <w:tcW w:type="dxa" w:w="4320"/>
          </w:tcPr>
          <w:p>
            <w:r>
              <w:t>Maximum-aggregation</w:t>
            </w:r>
          </w:p>
        </w:tc>
        <w:tc>
          <w:tcPr>
            <w:tcW w:type="dxa" w:w="4320"/>
          </w:tcPr>
          <w:p>
            <w:r>
              <w:t>The video-level decision rule that takes the maximum per-category confidence over all sampled frames.</w:t>
            </w:r>
          </w:p>
        </w:tc>
      </w:tr>
      <w:tr>
        <w:tc>
          <w:tcPr>
            <w:tcW w:type="dxa" w:w="4320"/>
          </w:tcPr>
          <w:p>
            <w:r>
              <w:t>Exponential moving average</w:t>
            </w:r>
          </w:p>
        </w:tc>
        <w:tc>
          <w:tcPr>
            <w:tcW w:type="dxa" w:w="4320"/>
          </w:tcPr>
          <w:p>
            <w:r>
              <w:t>A weight-stabilization technique used during training.</w:t>
            </w:r>
          </w:p>
        </w:tc>
      </w:tr>
      <w:tr>
        <w:tc>
          <w:tcPr>
            <w:tcW w:type="dxa" w:w="4320"/>
          </w:tcPr>
          <w:p>
            <w:r>
              <w:t>Human review platform</w:t>
            </w:r>
          </w:p>
        </w:tc>
        <w:tc>
          <w:tcPr>
            <w:tcW w:type="dxa" w:w="4320"/>
          </w:tcPr>
          <w:p>
            <w:r>
              <w:t>The annotation review tool used to collect and export ground-truth multi-label annotations.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