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pPr>
      <w:r>
        <w:rPr>
          <w:rFonts w:cs="Times New Roman" w:ascii="times new roman" w:hAnsi="times new roman"/>
          <w:b/>
          <w:bCs/>
          <w:color w:val="1B1C1D"/>
          <w:sz w:val="28"/>
          <w:szCs w:val="28"/>
        </w:rPr>
        <w:t>A Simple Experiment  using Google Gemini AI Model for Crop Yield Estimation</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DULAL CHAKRABARTI*</w:t>
      </w:r>
    </w:p>
    <w:p>
      <w:pPr>
        <w:pStyle w:val="Normal"/>
        <w:jc w:val="center"/>
        <w:rPr>
          <w:rFonts w:ascii="Times New Roman" w:hAnsi="Times New Roman" w:cs="Times New Roman"/>
        </w:rPr>
      </w:pPr>
      <w:r>
        <w:rPr>
          <w:rFonts w:cs="Times New Roman" w:ascii="Times New Roman" w:hAnsi="Times New Roman"/>
        </w:rPr>
        <w:t>India Meteorological Department(Retired), New Delhi - 110 003, India</w:t>
      </w:r>
    </w:p>
    <w:p>
      <w:pPr>
        <w:pStyle w:val="Normal"/>
        <w:jc w:val="center"/>
        <w:rPr>
          <w:rFonts w:ascii="Times New Roman" w:hAnsi="Times New Roman" w:cs="Times New Roman"/>
        </w:rPr>
      </w:pPr>
      <w:r>
        <w:rPr>
          <w:rFonts w:cs="Times New Roman" w:ascii="Times New Roman" w:hAnsi="Times New Roman"/>
        </w:rPr>
        <w:t>*C-120/PKT-7, Kendriya Vihar-II, Sector-82, Noida, Uttar Pradesh-201304</w:t>
      </w:r>
    </w:p>
    <w:p>
      <w:pPr>
        <w:pStyle w:val="Normal"/>
        <w:jc w:val="center"/>
        <w:rPr/>
      </w:pPr>
      <w:r>
        <w:rPr>
          <w:rFonts w:cs="Times New Roman" w:ascii="Times New Roman" w:hAnsi="Times New Roman"/>
        </w:rPr>
        <w:t xml:space="preserve">e mails : </w:t>
      </w:r>
      <w:hyperlink r:id="rId2">
        <w:r>
          <w:rPr>
            <w:rStyle w:val="Hyperlink"/>
            <w:rFonts w:cs="Times New Roman" w:ascii="Times New Roman" w:hAnsi="Times New Roman"/>
            <w:color w:val="000000"/>
            <w:u w:val="none"/>
          </w:rPr>
          <w:t>dulalchakrabarti@gmail.com</w:t>
        </w:r>
      </w:hyperlink>
    </w:p>
    <w:p>
      <w:pPr>
        <w:pStyle w:val="Normal"/>
        <w:jc w:val="center"/>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rPr>
      </w:pPr>
      <w:r>
        <w:rPr>
          <w:rStyle w:val="Strong"/>
          <w:rFonts w:cs="Times New Roman" w:ascii="times new roman" w:hAnsi="times new roman"/>
          <w:b/>
          <w:i w:val="false"/>
          <w:caps w:val="false"/>
          <w:smallCaps w:val="false"/>
          <w:color w:val="0F1115"/>
          <w:spacing w:val="0"/>
          <w:sz w:val="24"/>
        </w:rPr>
        <w:t>Abstract</w:t>
      </w:r>
    </w:p>
    <w:p>
      <w:pPr>
        <w:pStyle w:val="BodyText"/>
        <w:jc w:val="both"/>
        <w:rPr>
          <w:rFonts w:ascii="times new roman" w:hAnsi="times new roman" w:cs="Times New Roman"/>
          <w:b w:val="false"/>
          <w:i w:val="false"/>
          <w:caps w:val="false"/>
          <w:smallCaps w:val="false"/>
          <w:color w:val="0F1115"/>
          <w:spacing w:val="0"/>
          <w:sz w:val="24"/>
        </w:rPr>
      </w:pPr>
      <w:r>
        <w:rPr>
          <w:rFonts w:cs="Times New Roman" w:ascii="times new roman" w:hAnsi="times new roman"/>
          <w:b w:val="false"/>
          <w:i w:val="false"/>
          <w:caps w:val="false"/>
          <w:smallCaps w:val="false"/>
          <w:color w:val="0F1115"/>
          <w:spacing w:val="0"/>
          <w:sz w:val="24"/>
        </w:rPr>
        <w:t>S</w:t>
      </w:r>
      <w:r>
        <w:rPr>
          <w:rFonts w:cs="Times New Roman" w:ascii="times new roman" w:hAnsi="times new roman"/>
          <w:b w:val="false"/>
          <w:i w:val="false"/>
          <w:caps w:val="false"/>
          <w:smallCaps w:val="false"/>
          <w:color w:val="0F1115"/>
          <w:spacing w:val="0"/>
          <w:sz w:val="24"/>
        </w:rPr>
        <w:t xml:space="preserve">mallholder </w:t>
      </w:r>
      <w:r>
        <w:rPr>
          <w:rFonts w:cs="Times New Roman" w:ascii="times new roman" w:hAnsi="times new roman"/>
          <w:b w:val="false"/>
          <w:i w:val="false"/>
          <w:caps w:val="false"/>
          <w:smallCaps w:val="false"/>
          <w:color w:val="0F1115"/>
          <w:spacing w:val="0"/>
          <w:sz w:val="24"/>
        </w:rPr>
        <w:t xml:space="preserve">and marginal </w:t>
      </w:r>
      <w:r>
        <w:rPr>
          <w:rFonts w:cs="Times New Roman" w:ascii="times new roman" w:hAnsi="times new roman"/>
          <w:b w:val="false"/>
          <w:i w:val="false"/>
          <w:caps w:val="false"/>
          <w:smallCaps w:val="false"/>
          <w:color w:val="0F1115"/>
          <w:spacing w:val="0"/>
          <w:sz w:val="24"/>
        </w:rPr>
        <w:t xml:space="preserve">farmers </w:t>
      </w:r>
      <w:r>
        <w:rPr>
          <w:rFonts w:cs="Times New Roman" w:ascii="times new roman" w:hAnsi="times new roman"/>
          <w:b w:val="false"/>
          <w:i w:val="false"/>
          <w:caps w:val="false"/>
          <w:smallCaps w:val="false"/>
          <w:color w:val="0F1115"/>
          <w:spacing w:val="0"/>
          <w:sz w:val="24"/>
        </w:rPr>
        <w:t>in India</w:t>
      </w:r>
      <w:r>
        <w:rPr>
          <w:rFonts w:cs="Times New Roman" w:ascii="times new roman" w:hAnsi="times new roman"/>
          <w:b w:val="false"/>
          <w:i w:val="false"/>
          <w:caps w:val="false"/>
          <w:smallCaps w:val="false"/>
          <w:color w:val="0F1115"/>
          <w:spacing w:val="0"/>
          <w:sz w:val="24"/>
        </w:rPr>
        <w:t xml:space="preserve"> </w:t>
      </w:r>
      <w:r>
        <w:rPr>
          <w:rFonts w:cs="Times New Roman" w:ascii="times new roman" w:hAnsi="times new roman"/>
          <w:b w:val="false"/>
          <w:i w:val="false"/>
          <w:caps w:val="false"/>
          <w:smallCaps w:val="false"/>
          <w:color w:val="0F1115"/>
          <w:spacing w:val="0"/>
          <w:sz w:val="24"/>
        </w:rPr>
        <w:t>have</w:t>
      </w:r>
      <w:r>
        <w:rPr>
          <w:rFonts w:cs="Times New Roman" w:ascii="times new roman" w:hAnsi="times new roman"/>
          <w:b w:val="false"/>
          <w:i w:val="false"/>
          <w:caps w:val="false"/>
          <w:smallCaps w:val="false"/>
          <w:color w:val="0F1115"/>
          <w:spacing w:val="0"/>
          <w:sz w:val="24"/>
        </w:rPr>
        <w:t xml:space="preserve"> limited diagnostic tools</w:t>
      </w:r>
      <w:r>
        <w:rPr>
          <w:rFonts w:cs="Times New Roman" w:ascii="times new roman" w:hAnsi="times new roman"/>
          <w:b w:val="false"/>
          <w:i w:val="false"/>
          <w:caps w:val="false"/>
          <w:smallCaps w:val="false"/>
          <w:color w:val="0F1115"/>
          <w:spacing w:val="0"/>
          <w:sz w:val="24"/>
        </w:rPr>
        <w:t xml:space="preserve"> for mitigation of risks associated with agricultural production of crops</w:t>
      </w:r>
      <w:r>
        <w:rPr>
          <w:rFonts w:cs="Times New Roman" w:ascii="times new roman" w:hAnsi="times new roman"/>
          <w:b w:val="false"/>
          <w:i w:val="false"/>
          <w:caps w:val="false"/>
          <w:smallCaps w:val="false"/>
          <w:color w:val="0F1115"/>
          <w:spacing w:val="0"/>
          <w:sz w:val="24"/>
        </w:rPr>
        <w:t>. This study proposes a novel field-ready and actionable digital analytic framework to empower the Gen-Z farmer cohort by leveraging widespread smartphone penetration and COTS (Commercial Off The Shelf) Artificial Intelligence App (AI App) for real-time, field-specific crop diagnostics. Using a mobile application (Gemini Mobile App), farmers capture geotagged images of stressed crops or a short video clip, submit voice or text queries in local languages, and receive structured, actionable insights. The output also serves as verifiable evidence for insurance claims and climate-risk planning. With over 69 million smartphone users in rural India and near-universal internet coverage, this framework demonstrates a scalable, participatory pathway to climate-resilient agriculture, transforming farmers from aid recipients into hyperlocal data stewards.</w:t>
      </w:r>
    </w:p>
    <w:p>
      <w:pPr>
        <w:pStyle w:val="BodyText"/>
        <w:widowControl/>
        <w:spacing w:before="240" w:after="240"/>
        <w:ind w:hanging="0" w:left="0" w:right="0"/>
        <w:jc w:val="both"/>
        <w:rPr>
          <w:rFonts w:ascii="Times New Roman" w:hAnsi="Times New Roman" w:cs="Times New Roman"/>
        </w:rPr>
      </w:pPr>
      <w:r>
        <w:rPr>
          <w:rStyle w:val="Strong"/>
          <w:rFonts w:cs="Times New Roman" w:ascii="times new roman" w:hAnsi="times new roman"/>
          <w:b/>
          <w:i w:val="false"/>
          <w:caps w:val="false"/>
          <w:smallCaps w:val="false"/>
          <w:color w:val="0F1115"/>
          <w:spacing w:val="0"/>
          <w:sz w:val="24"/>
        </w:rPr>
        <w:t>Key words:</w:t>
      </w:r>
      <w:r>
        <w:rPr>
          <w:rFonts w:cs="Times New Roman" w:ascii="times new roman" w:hAnsi="times new roman"/>
          <w:b w:val="false"/>
          <w:i w:val="false"/>
          <w:caps w:val="false"/>
          <w:smallCaps w:val="false"/>
          <w:color w:val="0F1115"/>
          <w:spacing w:val="0"/>
          <w:sz w:val="24"/>
        </w:rPr>
        <w:t> Climate resilience, Digital agriculture, Gen-Z farmers, AI diagnostics, Mobile advisory, Crop stress, Local language interface, Agricultural insurance.</w:t>
      </w:r>
    </w:p>
    <w:p>
      <w:pPr>
        <w:pStyle w:val="Heading2"/>
        <w:numPr>
          <w:ilvl w:val="1"/>
          <w:numId w:val="1"/>
        </w:numPr>
        <w:bidi w:val="0"/>
        <w:ind w:hanging="0" w:left="86" w:right="24"/>
        <w:jc w:val="left"/>
        <w:rPr>
          <w:rFonts w:ascii="times new roman" w:hAnsi="times new roman" w:cs="Times New Roman"/>
          <w:b w:val="false"/>
          <w:bCs w:val="false"/>
          <w:i w:val="false"/>
          <w:iCs/>
          <w:caps w:val="false"/>
          <w:smallCaps w:val="false"/>
          <w:color w:val="0F1115"/>
          <w:spacing w:val="0"/>
          <w:sz w:val="24"/>
          <w:szCs w:val="24"/>
        </w:rPr>
      </w:pPr>
      <w:r>
        <w:rPr>
          <w:rStyle w:val="Strong"/>
          <w:rFonts w:ascii="times new roman" w:hAnsi="times new roman" w:cs="times new roman"/>
          <w:b w:val="false"/>
          <w:b w:val="false"/>
          <w:bCs/>
          <w:i w:val="false"/>
          <w:iCs w:val="false"/>
          <w:caps w:val="false"/>
          <w:smallCaps w:val="false"/>
          <w:color w:val="0F1115"/>
          <w:spacing w:val="0"/>
          <w:sz w:val="24"/>
          <w:szCs w:val="24"/>
        </w:rPr>
        <w:t xml:space="preserve">सार </w:t>
      </w:r>
      <w:r>
        <w:rPr>
          <w:rStyle w:val="Strong"/>
          <w:rFonts w:cs="times new roman" w:ascii="times new roman" w:hAnsi="times new roman"/>
          <w:b/>
          <w:bCs w:val="false"/>
          <w:i w:val="false"/>
          <w:iCs/>
          <w:caps w:val="false"/>
          <w:smallCaps w:val="false"/>
          <w:color w:val="0F1115"/>
          <w:spacing w:val="0"/>
          <w:sz w:val="24"/>
          <w:szCs w:val="24"/>
        </w:rPr>
        <w:t>(Abstract)</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 xml:space="preserve">भारत में छोटे और सीमांत किसानों के पास फसल उत्पादन से जुड़े जोखिमों को कम करने के लिए सीमित नैदानिक उपकरण </w:t>
      </w:r>
      <w:r>
        <w:rPr>
          <w:rFonts w:cs="times new roman" w:ascii="times new roman" w:hAnsi="times new roman"/>
          <w:b w:val="false"/>
          <w:i w:val="false"/>
          <w:iCs/>
          <w:caps w:val="false"/>
          <w:smallCaps w:val="false"/>
          <w:color w:val="0F1115"/>
          <w:spacing w:val="0"/>
          <w:sz w:val="24"/>
          <w:szCs w:val="24"/>
        </w:rPr>
        <w:t xml:space="preserve">(diagnostic tools) </w:t>
      </w:r>
      <w:r>
        <w:rPr>
          <w:rFonts w:ascii="times new roman" w:hAnsi="times new roman" w:cs="times new roman"/>
          <w:bCs w:val="false"/>
          <w:iCs w:val="false"/>
          <w:caps w:val="false"/>
          <w:smallCaps w:val="false"/>
          <w:color w:val="0F1115"/>
          <w:spacing w:val="0"/>
          <w:sz w:val="24"/>
          <w:szCs w:val="24"/>
        </w:rPr>
        <w:t>उपलब्ध हैं। यह अध्ययन एक नवीन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खेत</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तैयार </w:t>
      </w:r>
      <w:r>
        <w:rPr>
          <w:rFonts w:cs="times new roman" w:ascii="times new roman" w:hAnsi="times new roman"/>
          <w:b w:val="false"/>
          <w:i w:val="false"/>
          <w:iCs/>
          <w:caps w:val="false"/>
          <w:smallCaps w:val="false"/>
          <w:color w:val="0F1115"/>
          <w:spacing w:val="0"/>
          <w:sz w:val="24"/>
          <w:szCs w:val="24"/>
        </w:rPr>
        <w:t xml:space="preserve">(field-ready) </w:t>
      </w:r>
      <w:r>
        <w:rPr>
          <w:rFonts w:ascii="times new roman" w:hAnsi="times new roman" w:cs="times new roman"/>
          <w:bCs w:val="false"/>
          <w:iCs w:val="false"/>
          <w:caps w:val="false"/>
          <w:smallCaps w:val="false"/>
          <w:color w:val="0F1115"/>
          <w:spacing w:val="0"/>
          <w:sz w:val="24"/>
          <w:szCs w:val="24"/>
        </w:rPr>
        <w:t xml:space="preserve">और क्रियाशील डिजिटल विश्लेषणात्मक ढांचा </w:t>
      </w:r>
      <w:r>
        <w:rPr>
          <w:rFonts w:cs="times new roman" w:ascii="times new roman" w:hAnsi="times new roman"/>
          <w:b w:val="false"/>
          <w:i w:val="false"/>
          <w:iCs/>
          <w:caps w:val="false"/>
          <w:smallCaps w:val="false"/>
          <w:color w:val="0F1115"/>
          <w:spacing w:val="0"/>
          <w:sz w:val="24"/>
          <w:szCs w:val="24"/>
        </w:rPr>
        <w:t xml:space="preserve">(actionable digital analytic framework) </w:t>
      </w:r>
      <w:r>
        <w:rPr>
          <w:rFonts w:ascii="times new roman" w:hAnsi="times new roman" w:cs="times new roman"/>
          <w:bCs w:val="false"/>
          <w:iCs w:val="false"/>
          <w:caps w:val="false"/>
          <w:smallCaps w:val="false"/>
          <w:color w:val="0F1115"/>
          <w:spacing w:val="0"/>
          <w:sz w:val="24"/>
          <w:szCs w:val="24"/>
        </w:rPr>
        <w:t>प्रस्तुत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जो जेन</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जेड किसानों </w:t>
      </w:r>
      <w:r>
        <w:rPr>
          <w:rFonts w:cs="times new roman" w:ascii="times new roman" w:hAnsi="times new roman"/>
          <w:b w:val="false"/>
          <w:i w:val="false"/>
          <w:iCs/>
          <w:caps w:val="false"/>
          <w:smallCaps w:val="false"/>
          <w:color w:val="0F1115"/>
          <w:spacing w:val="0"/>
          <w:sz w:val="24"/>
          <w:szCs w:val="24"/>
        </w:rPr>
        <w:t xml:space="preserve">(Gen-Z farmer cohort) </w:t>
      </w:r>
      <w:r>
        <w:rPr>
          <w:rFonts w:ascii="times new roman" w:hAnsi="times new roman" w:cs="times new roman"/>
          <w:bCs w:val="false"/>
          <w:iCs w:val="false"/>
          <w:caps w:val="false"/>
          <w:smallCaps w:val="false"/>
          <w:color w:val="0F1115"/>
          <w:spacing w:val="0"/>
          <w:sz w:val="24"/>
          <w:szCs w:val="24"/>
        </w:rPr>
        <w:t xml:space="preserve">को सशक्त बनाने के लिए व्यापक स्मार्टफोन पहुंच और </w:t>
      </w:r>
      <w:r>
        <w:rPr>
          <w:rFonts w:cs="times new roman" w:ascii="times new roman" w:hAnsi="times new roman"/>
          <w:b w:val="false"/>
          <w:i w:val="false"/>
          <w:iCs/>
          <w:caps w:val="false"/>
          <w:smallCaps w:val="false"/>
          <w:color w:val="0F1115"/>
          <w:spacing w:val="0"/>
          <w:sz w:val="24"/>
          <w:szCs w:val="24"/>
        </w:rPr>
        <w:t>COTS (</w:t>
      </w:r>
      <w:r>
        <w:rPr>
          <w:rFonts w:ascii="times new roman" w:hAnsi="times new roman" w:cs="times new roman"/>
          <w:bCs w:val="false"/>
          <w:iCs w:val="false"/>
          <w:caps w:val="false"/>
          <w:smallCaps w:val="false"/>
          <w:color w:val="0F1115"/>
          <w:spacing w:val="0"/>
          <w:sz w:val="24"/>
          <w:szCs w:val="24"/>
        </w:rPr>
        <w:t>व्यावसायिक रूप से उपलब्ध</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कृत्रिम बुद्धिमत्ता ऐप </w:t>
      </w:r>
      <w:r>
        <w:rPr>
          <w:rFonts w:cs="times new roman" w:ascii="times new roman" w:hAnsi="times new roman"/>
          <w:b w:val="false"/>
          <w:i w:val="false"/>
          <w:iCs/>
          <w:caps w:val="false"/>
          <w:smallCaps w:val="false"/>
          <w:color w:val="0F1115"/>
          <w:spacing w:val="0"/>
          <w:sz w:val="24"/>
          <w:szCs w:val="24"/>
        </w:rPr>
        <w:t xml:space="preserve">(AI App) </w:t>
      </w:r>
      <w:r>
        <w:rPr>
          <w:rFonts w:ascii="times new roman" w:hAnsi="times new roman" w:cs="times new roman"/>
          <w:bCs w:val="false"/>
          <w:iCs w:val="false"/>
          <w:caps w:val="false"/>
          <w:smallCaps w:val="false"/>
          <w:color w:val="0F1115"/>
          <w:spacing w:val="0"/>
          <w:sz w:val="24"/>
          <w:szCs w:val="24"/>
        </w:rPr>
        <w:t xml:space="preserve">का लाभ उठाता है। यह ढांचा वास्तविक समय </w:t>
      </w:r>
      <w:r>
        <w:rPr>
          <w:rFonts w:cs="times new roman" w:ascii="times new roman" w:hAnsi="times new roman"/>
          <w:b w:val="false"/>
          <w:i w:val="false"/>
          <w:iCs/>
          <w:caps w:val="false"/>
          <w:smallCaps w:val="false"/>
          <w:color w:val="0F1115"/>
          <w:spacing w:val="0"/>
          <w:sz w:val="24"/>
          <w:szCs w:val="24"/>
        </w:rPr>
        <w:t xml:space="preserve">(real-time) </w:t>
      </w:r>
      <w:r>
        <w:rPr>
          <w:rFonts w:ascii="times new roman" w:hAnsi="times new roman" w:cs="times new roman"/>
          <w:bCs w:val="false"/>
          <w:iCs w:val="false"/>
          <w:caps w:val="false"/>
          <w:smallCaps w:val="false"/>
          <w:color w:val="0F1115"/>
          <w:spacing w:val="0"/>
          <w:sz w:val="24"/>
          <w:szCs w:val="24"/>
        </w:rPr>
        <w:t>में</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खेत</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विशिष्ट </w:t>
      </w:r>
      <w:r>
        <w:rPr>
          <w:rFonts w:cs="times new roman" w:ascii="times new roman" w:hAnsi="times new roman"/>
          <w:b w:val="false"/>
          <w:i w:val="false"/>
          <w:iCs/>
          <w:caps w:val="false"/>
          <w:smallCaps w:val="false"/>
          <w:color w:val="0F1115"/>
          <w:spacing w:val="0"/>
          <w:sz w:val="24"/>
          <w:szCs w:val="24"/>
        </w:rPr>
        <w:t xml:space="preserve">(field-specific) </w:t>
      </w:r>
      <w:r>
        <w:rPr>
          <w:rFonts w:ascii="times new roman" w:hAnsi="times new roman" w:cs="times new roman"/>
          <w:bCs w:val="false"/>
          <w:iCs w:val="false"/>
          <w:caps w:val="false"/>
          <w:smallCaps w:val="false"/>
          <w:color w:val="0F1115"/>
          <w:spacing w:val="0"/>
          <w:sz w:val="24"/>
          <w:szCs w:val="24"/>
        </w:rPr>
        <w:t>फसल निदान प्रदान करता है।</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 xml:space="preserve">एक मोबाइल एप्लिकेशन </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जेमिनी मोबाइल ऐप</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के माध्यम से</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किसान तनावग्रस्त फसलों की भू</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टैग्ड तस्वीरें </w:t>
      </w:r>
      <w:r>
        <w:rPr>
          <w:rFonts w:cs="times new roman" w:ascii="times new roman" w:hAnsi="times new roman"/>
          <w:b w:val="false"/>
          <w:i w:val="false"/>
          <w:iCs/>
          <w:caps w:val="false"/>
          <w:smallCaps w:val="false"/>
          <w:color w:val="0F1115"/>
          <w:spacing w:val="0"/>
          <w:sz w:val="24"/>
          <w:szCs w:val="24"/>
        </w:rPr>
        <w:t xml:space="preserve">(geotagged images) </w:t>
      </w:r>
      <w:r>
        <w:rPr>
          <w:rFonts w:ascii="times new roman" w:hAnsi="times new roman" w:cs="times new roman"/>
          <w:bCs w:val="false"/>
          <w:iCs w:val="false"/>
          <w:caps w:val="false"/>
          <w:smallCaps w:val="false"/>
          <w:color w:val="0F1115"/>
          <w:spacing w:val="0"/>
          <w:sz w:val="24"/>
          <w:szCs w:val="24"/>
        </w:rPr>
        <w:t>या एक छोटा वीडियो क्लिप कैप्चर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स्थानीय भाषाओं में वॉयस या टेक्स्ट प्रश्न सबमिट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और संरचित</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क्रियाशील जानकारी </w:t>
      </w:r>
      <w:r>
        <w:rPr>
          <w:rFonts w:cs="times new roman" w:ascii="times new roman" w:hAnsi="times new roman"/>
          <w:b w:val="false"/>
          <w:i w:val="false"/>
          <w:iCs/>
          <w:caps w:val="false"/>
          <w:smallCaps w:val="false"/>
          <w:color w:val="0F1115"/>
          <w:spacing w:val="0"/>
          <w:sz w:val="24"/>
          <w:szCs w:val="24"/>
        </w:rPr>
        <w:t xml:space="preserve">(structured, actionable insights) </w:t>
      </w:r>
      <w:r>
        <w:rPr>
          <w:rFonts w:ascii="times new roman" w:hAnsi="times new roman" w:cs="times new roman"/>
          <w:bCs w:val="false"/>
          <w:iCs w:val="false"/>
          <w:caps w:val="false"/>
          <w:smallCaps w:val="false"/>
          <w:color w:val="0F1115"/>
          <w:spacing w:val="0"/>
          <w:sz w:val="24"/>
          <w:szCs w:val="24"/>
        </w:rPr>
        <w:t>प्राप्त करते हैं। यह आउटपुट बीमा दावों और जलवायु</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जोखिम योजना के लिए सत्यापन योग्य साक्ष्य </w:t>
      </w:r>
      <w:r>
        <w:rPr>
          <w:rFonts w:cs="times new roman" w:ascii="times new roman" w:hAnsi="times new roman"/>
          <w:b w:val="false"/>
          <w:i w:val="false"/>
          <w:iCs/>
          <w:caps w:val="false"/>
          <w:smallCaps w:val="false"/>
          <w:color w:val="0F1115"/>
          <w:spacing w:val="0"/>
          <w:sz w:val="24"/>
          <w:szCs w:val="24"/>
        </w:rPr>
        <w:t xml:space="preserve">(verifiable evidence) </w:t>
      </w:r>
      <w:r>
        <w:rPr>
          <w:rFonts w:ascii="times new roman" w:hAnsi="times new roman" w:cs="times new roman"/>
          <w:bCs w:val="false"/>
          <w:iCs w:val="false"/>
          <w:caps w:val="false"/>
          <w:smallCaps w:val="false"/>
          <w:color w:val="0F1115"/>
          <w:spacing w:val="0"/>
          <w:sz w:val="24"/>
          <w:szCs w:val="24"/>
        </w:rPr>
        <w:t>के रूप में भी कार्य करता है।</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 xml:space="preserve">भारत में </w:t>
      </w:r>
      <w:r>
        <w:rPr>
          <w:rFonts w:cs="times new roman" w:ascii="times new roman" w:hAnsi="times new roman"/>
          <w:b w:val="false"/>
          <w:i w:val="false"/>
          <w:iCs/>
          <w:caps w:val="false"/>
          <w:smallCaps w:val="false"/>
          <w:color w:val="0F1115"/>
          <w:spacing w:val="0"/>
          <w:sz w:val="24"/>
          <w:szCs w:val="24"/>
        </w:rPr>
        <w:t xml:space="preserve">6.9 </w:t>
      </w:r>
      <w:r>
        <w:rPr>
          <w:rFonts w:ascii="times new roman" w:hAnsi="times new roman" w:cs="times new roman"/>
          <w:bCs w:val="false"/>
          <w:iCs w:val="false"/>
          <w:caps w:val="false"/>
          <w:smallCaps w:val="false"/>
          <w:color w:val="0F1115"/>
          <w:spacing w:val="0"/>
          <w:sz w:val="24"/>
          <w:szCs w:val="24"/>
        </w:rPr>
        <w:t xml:space="preserve">करोड़ </w:t>
      </w:r>
      <w:r>
        <w:rPr>
          <w:rFonts w:cs="times new roman" w:ascii="times new roman" w:hAnsi="times new roman"/>
          <w:b w:val="false"/>
          <w:i w:val="false"/>
          <w:iCs/>
          <w:caps w:val="false"/>
          <w:smallCaps w:val="false"/>
          <w:color w:val="0F1115"/>
          <w:spacing w:val="0"/>
          <w:sz w:val="24"/>
          <w:szCs w:val="24"/>
        </w:rPr>
        <w:t xml:space="preserve">(69 </w:t>
      </w:r>
      <w:r>
        <w:rPr>
          <w:rFonts w:ascii="times new roman" w:hAnsi="times new roman" w:cs="times new roman"/>
          <w:bCs w:val="false"/>
          <w:iCs w:val="false"/>
          <w:caps w:val="false"/>
          <w:smallCaps w:val="false"/>
          <w:color w:val="0F1115"/>
          <w:spacing w:val="0"/>
          <w:sz w:val="24"/>
          <w:szCs w:val="24"/>
        </w:rPr>
        <w:t>मिलियन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से अधिक ग्रामीण स्मार्टफोन उपयोगकर्ताओं और लगभग सार्वभौमिक इंटरनेट कवरेज के साथ</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यह ढांचा जलवायु</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 xml:space="preserve">सहिष्णु कृषि </w:t>
      </w:r>
      <w:r>
        <w:rPr>
          <w:rFonts w:cs="times new roman" w:ascii="times new roman" w:hAnsi="times new roman"/>
          <w:b w:val="false"/>
          <w:i w:val="false"/>
          <w:iCs/>
          <w:caps w:val="false"/>
          <w:smallCaps w:val="false"/>
          <w:color w:val="0F1115"/>
          <w:spacing w:val="0"/>
          <w:sz w:val="24"/>
          <w:szCs w:val="24"/>
        </w:rPr>
        <w:t xml:space="preserve">(climate-resilient agriculture) </w:t>
      </w:r>
      <w:r>
        <w:rPr>
          <w:rFonts w:ascii="times new roman" w:hAnsi="times new roman" w:cs="times new roman"/>
          <w:bCs w:val="false"/>
          <w:iCs w:val="false"/>
          <w:caps w:val="false"/>
          <w:smallCaps w:val="false"/>
          <w:color w:val="0F1115"/>
          <w:spacing w:val="0"/>
          <w:sz w:val="24"/>
          <w:szCs w:val="24"/>
        </w:rPr>
        <w:t xml:space="preserve">के लिए एक स्केलेबल </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विस्तारणीय</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सहभागी </w:t>
      </w:r>
      <w:r>
        <w:rPr>
          <w:rFonts w:cs="times new roman" w:ascii="times new roman" w:hAnsi="times new roman"/>
          <w:b w:val="false"/>
          <w:i w:val="false"/>
          <w:iCs/>
          <w:caps w:val="false"/>
          <w:smallCaps w:val="false"/>
          <w:color w:val="0F1115"/>
          <w:spacing w:val="0"/>
          <w:sz w:val="24"/>
          <w:szCs w:val="24"/>
        </w:rPr>
        <w:t xml:space="preserve">(participatory) </w:t>
      </w:r>
      <w:r>
        <w:rPr>
          <w:rFonts w:ascii="times new roman" w:hAnsi="times new roman" w:cs="times new roman"/>
          <w:bCs w:val="false"/>
          <w:iCs w:val="false"/>
          <w:caps w:val="false"/>
          <w:smallCaps w:val="false"/>
          <w:color w:val="0F1115"/>
          <w:spacing w:val="0"/>
          <w:sz w:val="24"/>
          <w:szCs w:val="24"/>
        </w:rPr>
        <w:t>मार्ग प्रदर्शित करता है</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 xml:space="preserve">जो किसानों को सहायता प्राप्तकर्ताओं </w:t>
      </w:r>
      <w:r>
        <w:rPr>
          <w:rFonts w:cs="times new roman" w:ascii="times new roman" w:hAnsi="times new roman"/>
          <w:b w:val="false"/>
          <w:i w:val="false"/>
          <w:iCs/>
          <w:caps w:val="false"/>
          <w:smallCaps w:val="false"/>
          <w:color w:val="0F1115"/>
          <w:spacing w:val="0"/>
          <w:sz w:val="24"/>
          <w:szCs w:val="24"/>
        </w:rPr>
        <w:t xml:space="preserve">(aid recipients) </w:t>
      </w:r>
      <w:r>
        <w:rPr>
          <w:rFonts w:ascii="times new roman" w:hAnsi="times new roman" w:cs="times new roman"/>
          <w:bCs w:val="false"/>
          <w:iCs w:val="false"/>
          <w:caps w:val="false"/>
          <w:smallCaps w:val="false"/>
          <w:color w:val="0F1115"/>
          <w:spacing w:val="0"/>
          <w:sz w:val="24"/>
          <w:szCs w:val="24"/>
        </w:rPr>
        <w:t xml:space="preserve">से स्थानीय डेटा प्रबंधकों </w:t>
      </w:r>
      <w:r>
        <w:rPr>
          <w:rFonts w:cs="times new roman" w:ascii="times new roman" w:hAnsi="times new roman"/>
          <w:b w:val="false"/>
          <w:i w:val="false"/>
          <w:iCs/>
          <w:caps w:val="false"/>
          <w:smallCaps w:val="false"/>
          <w:color w:val="0F1115"/>
          <w:spacing w:val="0"/>
          <w:sz w:val="24"/>
          <w:szCs w:val="24"/>
        </w:rPr>
        <w:t xml:space="preserve">(hyperlocal data stewards) </w:t>
      </w:r>
      <w:r>
        <w:rPr>
          <w:rFonts w:ascii="times new roman" w:hAnsi="times new roman" w:cs="times new roman"/>
          <w:bCs w:val="false"/>
          <w:iCs w:val="false"/>
          <w:caps w:val="false"/>
          <w:smallCaps w:val="false"/>
          <w:color w:val="0F1115"/>
          <w:spacing w:val="0"/>
          <w:sz w:val="24"/>
          <w:szCs w:val="24"/>
        </w:rPr>
        <w:t>में परिवर्तित करता है।</w:t>
      </w:r>
    </w:p>
    <w:p>
      <w:pPr>
        <w:pStyle w:val="Heading2"/>
        <w:widowControl/>
        <w:numPr>
          <w:ilvl w:val="1"/>
          <w:numId w:val="1"/>
        </w:numPr>
        <w:spacing w:lineRule="atLeast" w:line="480" w:before="480" w:after="240"/>
        <w:ind w:hanging="0" w:left="0" w:right="0"/>
        <w:jc w:val="left"/>
        <w:rPr>
          <w:rFonts w:ascii="times new roman" w:hAnsi="times new roman" w:cs="times new roman"/>
          <w:iCs/>
          <w:color w:val="0F1115"/>
          <w:sz w:val="24"/>
          <w:szCs w:val="24"/>
        </w:rPr>
      </w:pPr>
      <w:r>
        <w:rPr>
          <w:rFonts w:ascii="times new roman" w:hAnsi="times new roman" w:cs="times new roman"/>
          <w:b w:val="false"/>
          <w:b w:val="false"/>
          <w:bCs/>
          <w:iCs w:val="false"/>
          <w:caps w:val="false"/>
          <w:smallCaps w:val="false"/>
          <w:color w:val="0F1115"/>
          <w:spacing w:val="0"/>
          <w:sz w:val="24"/>
          <w:szCs w:val="24"/>
        </w:rPr>
        <w:t xml:space="preserve">कीवर्ड </w:t>
      </w:r>
      <w:r>
        <w:rPr>
          <w:rFonts w:cs="times new roman" w:ascii="times new roman" w:hAnsi="times new roman"/>
          <w:b/>
          <w:bCs w:val="false"/>
          <w:i w:val="false"/>
          <w:iCs/>
          <w:caps w:val="false"/>
          <w:smallCaps w:val="false"/>
          <w:color w:val="0F1115"/>
          <w:spacing w:val="0"/>
          <w:sz w:val="24"/>
          <w:szCs w:val="24"/>
        </w:rPr>
        <w:t>(Keywords)</w:t>
      </w:r>
    </w:p>
    <w:p>
      <w:pPr>
        <w:pStyle w:val="BodyText"/>
        <w:widowControl/>
        <w:spacing w:before="240" w:after="240"/>
        <w:ind w:hanging="0" w:left="0" w:right="0"/>
        <w:rPr>
          <w:rFonts w:ascii="times new roman" w:hAnsi="times new roman" w:cs="times new roman"/>
          <w:iCs/>
          <w:caps w:val="false"/>
          <w:smallCaps w:val="false"/>
          <w:color w:val="0F1115"/>
          <w:spacing w:val="0"/>
          <w:sz w:val="24"/>
          <w:szCs w:val="24"/>
        </w:rPr>
      </w:pPr>
      <w:r>
        <w:rPr>
          <w:rFonts w:ascii="times new roman" w:hAnsi="times new roman" w:cs="times new roman"/>
          <w:bCs w:val="false"/>
          <w:iCs w:val="false"/>
          <w:caps w:val="false"/>
          <w:smallCaps w:val="false"/>
          <w:color w:val="0F1115"/>
          <w:spacing w:val="0"/>
          <w:sz w:val="24"/>
          <w:szCs w:val="24"/>
        </w:rPr>
        <w:t>जलवायु सहिष्णुता</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डिजिटल कृषि</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जेन</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जेड किसान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एआई</w:t>
      </w:r>
      <w:r>
        <w:rPr>
          <w:rFonts w:cs="times new roman" w:ascii="times new roman" w:hAnsi="times new roman"/>
          <w:b w:val="false"/>
          <w:i w:val="false"/>
          <w:iCs/>
          <w:caps w:val="false"/>
          <w:smallCaps w:val="false"/>
          <w:color w:val="0F1115"/>
          <w:spacing w:val="0"/>
          <w:sz w:val="24"/>
          <w:szCs w:val="24"/>
        </w:rPr>
        <w:t>-</w:t>
      </w:r>
      <w:r>
        <w:rPr>
          <w:rFonts w:ascii="times new roman" w:hAnsi="times new roman" w:cs="times new roman"/>
          <w:bCs w:val="false"/>
          <w:iCs w:val="false"/>
          <w:caps w:val="false"/>
          <w:smallCaps w:val="false"/>
          <w:color w:val="0F1115"/>
          <w:spacing w:val="0"/>
          <w:sz w:val="24"/>
          <w:szCs w:val="24"/>
        </w:rPr>
        <w:t>आधारित निदान</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मोबाइल परामर्श</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फसल तनाव</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स्थानीय भाषा इंटरफ़ेस</w:t>
      </w:r>
      <w:r>
        <w:rPr>
          <w:rFonts w:cs="times new roman" w:ascii="times new roman" w:hAnsi="times new roman"/>
          <w:b w:val="false"/>
          <w:i w:val="false"/>
          <w:iCs/>
          <w:caps w:val="false"/>
          <w:smallCaps w:val="false"/>
          <w:color w:val="0F1115"/>
          <w:spacing w:val="0"/>
          <w:sz w:val="24"/>
          <w:szCs w:val="24"/>
        </w:rPr>
        <w:t xml:space="preserve">, </w:t>
      </w:r>
      <w:r>
        <w:rPr>
          <w:rFonts w:ascii="times new roman" w:hAnsi="times new roman" w:cs="times new roman"/>
          <w:bCs w:val="false"/>
          <w:iCs w:val="false"/>
          <w:caps w:val="false"/>
          <w:smallCaps w:val="false"/>
          <w:color w:val="0F1115"/>
          <w:spacing w:val="0"/>
          <w:sz w:val="24"/>
          <w:szCs w:val="24"/>
        </w:rPr>
        <w:t>कृषि बीमा</w:t>
      </w:r>
    </w:p>
    <w:p>
      <w:pPr>
        <w:pStyle w:val="Heading2"/>
        <w:numPr>
          <w:ilvl w:val="1"/>
          <w:numId w:val="1"/>
        </w:numPr>
        <w:bidi w:val="0"/>
        <w:ind w:hanging="0" w:left="0" w:right="24"/>
        <w:jc w:val="left"/>
        <w:rPr/>
      </w:pPr>
      <w:r>
        <w:rPr>
          <w:rStyle w:val="Strong"/>
          <w:rFonts w:cs="Times New Roman" w:ascii="times new roman" w:hAnsi="times new roman"/>
          <w:b w:val="false"/>
          <w:bCs w:val="false"/>
          <w:i w:val="false"/>
          <w:iCs/>
          <w:caps w:val="false"/>
          <w:smallCaps w:val="false"/>
          <w:color w:val="0F1115"/>
          <w:spacing w:val="0"/>
          <w:sz w:val="24"/>
          <w:szCs w:val="24"/>
        </w:rPr>
        <w:t>1. Introduction</w:t>
      </w:r>
    </w:p>
    <w:p>
      <w:pPr>
        <w:pStyle w:val="BodyText"/>
        <w:widowControl/>
        <w:tabs>
          <w:tab w:val="clear" w:pos="11340"/>
          <w:tab w:val="left" w:pos="2988" w:leader="none"/>
        </w:tabs>
        <w:spacing w:before="240" w:after="240"/>
        <w:ind w:hanging="0" w:left="0" w:right="0"/>
        <w:rPr>
          <w:rFonts w:ascii="times new roman" w:hAnsi="times new roman" w:cs="Times New Roman"/>
          <w:b w:val="false"/>
          <w:bCs/>
          <w:i w:val="false"/>
          <w:iCs/>
          <w:caps w:val="false"/>
          <w:smallCaps w:val="false"/>
          <w:color w:val="0F1115"/>
          <w:spacing w:val="0"/>
          <w:sz w:val="24"/>
        </w:rPr>
      </w:pPr>
      <w:r>
        <w:rPr>
          <w:rStyle w:val="Strong"/>
          <w:rFonts w:cs="Times New Roman" w:ascii="times new roman" w:hAnsi="times new roman"/>
          <w:b w:val="false"/>
          <w:bCs/>
          <w:i w:val="false"/>
          <w:iCs/>
          <w:caps w:val="false"/>
          <w:smallCaps w:val="false"/>
          <w:color w:val="0F1115"/>
          <w:spacing w:val="0"/>
          <w:sz w:val="24"/>
        </w:rPr>
        <w:t>Crop health monitoring at periodic intervals like human health check up is a critical requirement for small and marginal farmers owning or operating in less than one hectare (2.5 acres) of land for mitigation of risks associated with high yield from the crop including claim settlement from public insurance schemes like PMFBY (Pradhan Mantri Fasal Bima Yojana) as described in a recent PIB report (PIB Release(2026)).  It is further accentuated in the case of Indian farmers because of sheer number of farmers (above 14 crores ; Agriculture Census 2015-16</w:t>
      </w:r>
      <w:r>
        <w:rPr/>
        <w:t xml:space="preserve">) </w:t>
      </w:r>
      <w:r>
        <w:rPr>
          <w:rStyle w:val="Strong"/>
          <w:rFonts w:cs="Times New Roman" w:ascii="times new roman" w:hAnsi="times new roman"/>
          <w:b w:val="false"/>
          <w:bCs/>
          <w:i w:val="false"/>
          <w:iCs/>
          <w:caps w:val="false"/>
          <w:smallCaps w:val="false"/>
          <w:color w:val="0F1115"/>
          <w:spacing w:val="0"/>
          <w:sz w:val="24"/>
        </w:rPr>
        <w:t xml:space="preserve">which needs huge scaling up of administrative set up including agronomists. While NDVI (Normalized Difference Vegetation Index) based monitoring has been prevalent for many years, it is not able to monitor crop at individual small and marginal farmer specific plot (geographic location). </w:t>
      </w:r>
      <w:r>
        <w:rPr>
          <w:rStyle w:val="Strong"/>
          <w:rFonts w:cs="Times New Roman" w:ascii="times new roman" w:hAnsi="times new roman"/>
          <w:b w:val="false"/>
          <w:bCs/>
          <w:i w:val="false"/>
          <w:iCs/>
          <w:caps w:val="false"/>
          <w:smallCaps w:val="false"/>
          <w:color w:val="1F2328"/>
          <w:spacing w:val="0"/>
          <w:sz w:val="24"/>
          <w:szCs w:val="24"/>
        </w:rPr>
        <w:t xml:space="preserve">As </w:t>
      </w:r>
      <w:r>
        <w:rPr>
          <w:rStyle w:val="Strong"/>
          <w:rFonts w:cs="Times New Roman" w:ascii="times new roman" w:hAnsi="times new roman"/>
          <w:b w:val="false"/>
          <w:bCs/>
          <w:i w:val="false"/>
          <w:iCs/>
          <w:caps w:val="false"/>
          <w:smallCaps w:val="false"/>
          <w:color w:val="1B1C1D"/>
          <w:spacing w:val="0"/>
          <w:sz w:val="24"/>
          <w:szCs w:val="24"/>
        </w:rPr>
        <w:t>I</w:t>
      </w:r>
      <w:r>
        <w:rPr>
          <w:rStyle w:val="Strong"/>
          <w:rFonts w:cs="Times New Roman" w:ascii="times new roman" w:hAnsi="times new roman"/>
          <w:b w:val="false"/>
          <w:bCs/>
          <w:i w:val="false"/>
          <w:iCs/>
          <w:caps w:val="false"/>
          <w:smallCaps w:val="false"/>
          <w:color w:val="0A0A0A"/>
          <w:spacing w:val="0"/>
          <w:sz w:val="24"/>
          <w:szCs w:val="24"/>
        </w:rPr>
        <w:t>ndia has achieved widespread mobile network infrastructure, through government initiatives like BharatNet and the Universal Service Obligation Fund (USOF) (</w:t>
      </w:r>
      <w:hyperlink r:id="rId3">
        <w:r>
          <w:rPr>
            <w:rStyle w:val="Hyperlink"/>
            <w:rFonts w:cs="Times New Roman" w:ascii="times new roman" w:hAnsi="times new roman"/>
            <w:b w:val="false"/>
            <w:bCs/>
            <w:i w:val="false"/>
            <w:iCs/>
            <w:caps w:val="false"/>
            <w:smallCaps w:val="false"/>
            <w:color w:val="0A0A0A"/>
            <w:spacing w:val="0"/>
            <w:sz w:val="24"/>
            <w:szCs w:val="24"/>
          </w:rPr>
          <w:t>https://usof.gov.in/en/bharatnet-project</w:t>
        </w:r>
      </w:hyperlink>
      <w:r>
        <w:rPr>
          <w:rStyle w:val="Strong"/>
          <w:rFonts w:cs="Times New Roman" w:ascii="times new roman" w:hAnsi="times new roman"/>
          <w:b w:val="false"/>
          <w:bCs/>
          <w:i w:val="false"/>
          <w:iCs/>
          <w:caps w:val="false"/>
          <w:smallCaps w:val="false"/>
          <w:color w:val="0A0A0A"/>
          <w:spacing w:val="0"/>
          <w:sz w:val="24"/>
          <w:szCs w:val="24"/>
        </w:rPr>
        <w:t>) and is continuously working to bridge the digital divide between its urban and rural populations and as noted in PIB (Press Information Bureaue) survey report (PIB 2132330(2025)) conducted during January – March 2025 , that in</w:t>
      </w:r>
      <w:r>
        <w:rPr>
          <w:rStyle w:val="Strong"/>
          <w:rFonts w:cs="Times New Roman" w:ascii="times new roman" w:hAnsi="times new roman"/>
          <w:b w:val="false"/>
          <w:bCs/>
          <w:i w:val="false"/>
          <w:iCs/>
          <w:caps w:val="false"/>
          <w:smallCaps w:val="false"/>
          <w:color w:val="333333"/>
          <w:spacing w:val="0"/>
          <w:sz w:val="24"/>
          <w:szCs w:val="24"/>
        </w:rPr>
        <w:t xml:space="preserve"> India, approximately 85.5 percent of households possessed at least one smartphone. </w:t>
      </w:r>
      <w:r>
        <w:rPr>
          <w:rStyle w:val="Strong"/>
          <w:rFonts w:cs="Times New Roman" w:ascii="times new roman" w:hAnsi="times new roman"/>
          <w:b w:val="false"/>
          <w:bCs/>
          <w:i w:val="false"/>
          <w:iCs/>
          <w:caps w:val="false"/>
          <w:smallCaps w:val="false"/>
          <w:color w:val="0F1115"/>
          <w:spacing w:val="0"/>
          <w:sz w:val="24"/>
        </w:rPr>
        <w:t xml:space="preserve"> Thus </w:t>
      </w:r>
      <w:r>
        <w:rPr>
          <w:rStyle w:val="Strong"/>
          <w:rFonts w:cs="Times New Roman" w:ascii="times new roman" w:hAnsi="times new roman"/>
          <w:b w:val="false"/>
          <w:bCs/>
          <w:i w:val="false"/>
          <w:iCs/>
          <w:caps w:val="false"/>
          <w:smallCaps w:val="false"/>
          <w:color w:val="0F1115"/>
          <w:spacing w:val="0"/>
          <w:sz w:val="24"/>
          <w:szCs w:val="24"/>
        </w:rPr>
        <w:t xml:space="preserve">India has witnessed a digital revolution in rural areas, with smartphone adoption surpassing 69 million users and internet coverage reaching 96% of villages. India’s digital readiness presents a unique opportunity to reimagine agricultural crop monitoring systems. The Gen-Z demographic (ages 18–27), adept with digital technology, represents a new generation of farmers who are more likely to adopt mobile-based solutions . </w:t>
      </w:r>
      <w:r>
        <w:rPr>
          <w:rFonts w:cs="Times New Roman" w:ascii="Times New Roman" w:hAnsi="Times New Roman"/>
          <w:b w:val="false"/>
          <w:bCs/>
          <w:i w:val="false"/>
          <w:iCs/>
          <w:caps w:val="false"/>
          <w:smallCaps w:val="false"/>
          <w:color w:val="0F1115"/>
          <w:spacing w:val="0"/>
          <w:sz w:val="24"/>
          <w:szCs w:val="24"/>
        </w:rPr>
        <w:t>The recent paradigm shift towards  multimodal Generative Artificial Intelligence (GenAI)  presents a groundbreaking opportunity to mitigate limitions in the agricultural advisory systems. Models like Google's Gemini are not merely classifiers but comprehensive reasoning engines  capable of simultaneously processing visual data (crop imagery or short video clips) and audio and textual instructions (expert prompts). This multimodal foundation allows GenAI to address the core bottlenecks of traditional diagnostics in a unified manner: it  integrates contextual knowledge  (e.g., symptomology, agronomic principles),  and generates human-interpretable reasoning, and can be dynamically guided through language to perform complex, structured tasks without task-specific retraining [Chen et al., 2025].</w:t>
      </w:r>
      <w:r>
        <w:rPr>
          <w:rFonts w:cs="Times New Roman" w:ascii="times new roman" w:hAnsi="times new roman"/>
          <w:b w:val="false"/>
          <w:bCs/>
          <w:i w:val="false"/>
          <w:iCs/>
          <w:caps w:val="false"/>
          <w:smallCaps w:val="false"/>
          <w:color w:val="0F1115"/>
          <w:spacing w:val="0"/>
          <w:sz w:val="24"/>
          <w:szCs w:val="24"/>
        </w:rPr>
        <w:t xml:space="preserve"> This paper introduces application of a field-ready digital modelling framework that harnesses generative AI, mobile technology, computer vision, and natural language processing (NLP) to deliver instant, field-level crop diagnostics. By enabling interaction in local Indian languages,specially with the help of voice prompts and responses, the framework ensures inclusivity and positions the farmer with his smart phone acting as a diagnostic lab and as an active participant and also a data steward in the data-driven climate adaptation.</w:t>
      </w:r>
    </w:p>
    <w:p>
      <w:pPr>
        <w:pStyle w:val="BodyText"/>
        <w:widowControl/>
        <w:tabs>
          <w:tab w:val="clear" w:pos="11340"/>
          <w:tab w:val="left" w:pos="2988" w:leader="none"/>
        </w:tabs>
        <w:spacing w:before="240" w:after="240"/>
        <w:ind w:hanging="0" w:left="0" w:right="0"/>
        <w:rPr>
          <w:rFonts w:ascii="times new roman" w:hAnsi="times new roman" w:cs="Times New Roman"/>
          <w:b w:val="false"/>
          <w:bCs/>
          <w:i w:val="false"/>
          <w:iCs/>
          <w:caps w:val="false"/>
          <w:smallCaps w:val="false"/>
          <w:color w:val="0F1115"/>
          <w:spacing w:val="0"/>
          <w:sz w:val="24"/>
        </w:rPr>
      </w:pPr>
      <w:r>
        <w:rPr>
          <w:rFonts w:cs="Times New Roman" w:ascii="times new roman" w:hAnsi="times new roman"/>
          <w:b w:val="false"/>
          <w:bCs/>
          <w:i w:val="false"/>
          <w:iCs/>
          <w:caps w:val="false"/>
          <w:smallCaps w:val="false"/>
          <w:color w:val="0F1115"/>
          <w:spacing w:val="0"/>
          <w:sz w:val="24"/>
          <w:szCs w:val="24"/>
        </w:rPr>
        <w:t>2. Background Information</w:t>
      </w:r>
    </w:p>
    <w:p>
      <w:pPr>
        <w:pStyle w:val="BodyText"/>
        <w:widowControl/>
        <w:spacing w:before="240" w:after="240"/>
        <w:ind w:hanging="0" w:left="0" w:right="0"/>
        <w:rPr>
          <w:rFonts w:ascii="times new roman" w:hAnsi="times new roman" w:cs="Times New Roman"/>
          <w:b w:val="false"/>
          <w:bCs/>
          <w:i w:val="false"/>
          <w:iCs/>
          <w:caps w:val="false"/>
          <w:smallCaps w:val="false"/>
          <w:color w:val="0F1115"/>
          <w:spacing w:val="0"/>
          <w:sz w:val="24"/>
        </w:rPr>
      </w:pPr>
      <w:r>
        <w:rPr>
          <w:rFonts w:cs="Times New Roman" w:ascii="times new roman" w:hAnsi="times new roman"/>
          <w:b w:val="false"/>
          <w:bCs/>
          <w:i w:val="false"/>
          <w:iCs/>
          <w:caps w:val="false"/>
          <w:smallCaps w:val="false"/>
          <w:color w:val="1B1C1D"/>
          <w:spacing w:val="0"/>
          <w:sz w:val="24"/>
          <w:szCs w:val="24"/>
        </w:rPr>
        <w:t xml:space="preserve">International Food Policy Reasearch Institute (IFPRI) commissioned BKC WeatherSys Pvt. Ltd.( </w:t>
      </w:r>
      <w:hyperlink r:id="rId4">
        <w:r>
          <w:rPr>
            <w:rStyle w:val="Hyperlink"/>
            <w:rFonts w:cs="Times New Roman" w:ascii="times new roman" w:hAnsi="times new roman"/>
            <w:b w:val="false"/>
            <w:bCs/>
            <w:i w:val="false"/>
            <w:iCs/>
            <w:caps w:val="false"/>
            <w:smallCaps w:val="false"/>
            <w:spacing w:val="0"/>
            <w:sz w:val="24"/>
            <w:szCs w:val="24"/>
          </w:rPr>
          <w:t>https://weathersysbkc.com/</w:t>
        </w:r>
      </w:hyperlink>
      <w:r>
        <w:rPr>
          <w:rFonts w:cs="Times New Roman" w:ascii="times new roman" w:hAnsi="times new roman"/>
          <w:b w:val="false"/>
          <w:bCs/>
          <w:i w:val="false"/>
          <w:iCs/>
          <w:caps w:val="false"/>
          <w:smallCaps w:val="false"/>
          <w:color w:val="1B1C1D"/>
          <w:spacing w:val="0"/>
          <w:sz w:val="24"/>
          <w:szCs w:val="24"/>
        </w:rPr>
        <w:t xml:space="preserve"> ) under Contract no 2017X393BKC.IN (BKC- IFPRI 2017-18 PIB WHEAT) to study use of smart phone pictures for yield prediction in 2017. From the detailed report (Singh et al., 2018) it may be seen that Convolution Neural Network (CNN) Model ( Microsoft CNTK based ) provided encouraging results of accuracy above 50%. A lot of progress in the development of machine learning models for agricultural application has since then been published in the international journals such as the </w:t>
      </w:r>
      <w:r>
        <w:rPr>
          <w:rFonts w:cs="Times New Roman" w:ascii="times new roman" w:hAnsi="times new roman"/>
          <w:b w:val="false"/>
          <w:bCs/>
          <w:i w:val="false"/>
          <w:iCs/>
          <w:caps w:val="false"/>
          <w:smallCaps w:val="false"/>
          <w:color w:val="1F2328"/>
          <w:spacing w:val="0"/>
          <w:sz w:val="24"/>
          <w:szCs w:val="24"/>
        </w:rPr>
        <w:t>Vision Transformer (ViT) model  was introduced in 2021  [Dosovitskiy et al. in (2021)] and a pre-trained version on ImageNet-21k (14 million images, 21,843 classes) at resolution 224x224 provided a simple way but with orders of magnitude improvement over the CNN model accuracy.</w:t>
      </w:r>
      <w:r>
        <w:rPr>
          <w:rFonts w:cs="Times New Roman" w:ascii="Times New Roman" w:hAnsi="Times New Roman"/>
          <w:b w:val="false"/>
          <w:bCs/>
          <w:i w:val="false"/>
          <w:iCs/>
          <w:caps w:val="false"/>
          <w:smallCaps w:val="false"/>
          <w:color w:val="0F1115"/>
          <w:spacing w:val="0"/>
          <w:sz w:val="24"/>
          <w:szCs w:val="24"/>
        </w:rPr>
        <w:t xml:space="preserve">   It was thus thought apposite to revisit the IFPRI project including its mobile captured image dataset and explore harnessing this transformative potential by implementing, and evaluating a  high-throughput, structured crop diagnostic pipeline  using the Gemini multimodal large language model. It thus moved beyond simple classification to demonstrate a robust methodology for  extracting consistent, machine-readable diagnostic data including estimated yield from a GenAI model. </w:t>
      </w:r>
    </w:p>
    <w:p>
      <w:pPr>
        <w:pStyle w:val="BodyText"/>
        <w:widowControl/>
        <w:spacing w:before="240" w:after="240"/>
        <w:ind w:hanging="0" w:left="0" w:right="0"/>
        <w:rPr>
          <w:rFonts w:ascii="times new roman" w:hAnsi="times new roman"/>
          <w:b w:val="false"/>
          <w:bCs w:val="false"/>
        </w:rPr>
      </w:pPr>
      <w:r>
        <w:rPr>
          <w:rFonts w:cs="Times New Roman" w:ascii="times new roman" w:hAnsi="times new roman"/>
          <w:b w:val="false"/>
          <w:bCs w:val="false"/>
          <w:i w:val="false"/>
          <w:iCs/>
          <w:caps w:val="false"/>
          <w:smallCaps w:val="false"/>
          <w:color w:val="0F1115"/>
          <w:spacing w:val="0"/>
          <w:sz w:val="24"/>
        </w:rPr>
        <w:t>2. Foundational Basics</w:t>
      </w:r>
    </w:p>
    <w:p>
      <w:pPr>
        <w:pStyle w:val="BodyText"/>
        <w:widowControl/>
        <w:spacing w:before="240" w:after="240"/>
        <w:ind w:hanging="0" w:left="0" w:right="0"/>
        <w:rPr>
          <w:rFonts w:ascii="times new roman" w:hAnsi="times new roman"/>
          <w:b w:val="false"/>
          <w:bCs w:val="false"/>
        </w:rPr>
      </w:pPr>
      <w:r>
        <w:rPr>
          <w:rFonts w:ascii="times new roman" w:hAnsi="times new roman"/>
          <w:b w:val="false"/>
          <w:bCs w:val="false"/>
        </w:rPr>
        <w:t>Multimodal Generative AI uses a much more complex "Fusion" architecture as compared to</w:t>
      </w:r>
      <w:r>
        <w:rPr>
          <w:rFonts w:cs="Times New Roman" w:ascii="times new roman" w:hAnsi="times new roman"/>
          <w:b w:val="false"/>
          <w:bCs w:val="false"/>
          <w:i w:val="false"/>
          <w:iCs/>
          <w:caps w:val="false"/>
          <w:smallCaps w:val="false"/>
          <w:color w:val="0F1115"/>
          <w:spacing w:val="0"/>
          <w:sz w:val="24"/>
        </w:rPr>
        <w:t xml:space="preserve"> Supervised Learning, where the architecture is usually a straight line flow (Equation 1):</w:t>
      </w:r>
    </w:p>
    <w:p>
      <w:pPr>
        <w:pStyle w:val="BodyText"/>
        <w:widowControl/>
        <w:spacing w:before="240" w:after="240"/>
        <w:ind w:hanging="0" w:left="0" w:right="0"/>
        <w:jc w:val="center"/>
        <w:rPr>
          <w:rFonts w:ascii="times new roman" w:hAnsi="times new roman"/>
          <w:b w:val="false"/>
          <w:bCs w:val="false"/>
        </w:rPr>
      </w:pPr>
      <w:r>
        <w:rPr>
          <w:rFonts w:cs="Times New Roman" w:ascii="times new roman" w:hAnsi="times new roman"/>
          <w:b w:val="false"/>
          <w:bCs w:val="false"/>
          <w:i w:val="false"/>
          <w:iCs/>
          <w:caps w:val="false"/>
          <w:smallCaps w:val="false"/>
          <w:color w:val="0F1115"/>
          <w:spacing w:val="0"/>
          <w:sz w:val="24"/>
        </w:rPr>
        <w:t>Input -&gt; Model -&gt; Prediction -- (Equation 1)</w:t>
      </w:r>
    </w:p>
    <w:p>
      <w:pPr>
        <w:pStyle w:val="BodyText"/>
        <w:widowControl/>
        <w:spacing w:before="240" w:after="240"/>
        <w:ind w:hanging="0" w:left="0" w:right="0"/>
        <w:rPr>
          <w:rFonts w:ascii="times new roman" w:hAnsi="times new roman"/>
          <w:b w:val="false"/>
          <w:bCs w:val="false"/>
        </w:rPr>
      </w:pPr>
      <w:r>
        <w:rPr>
          <w:rFonts w:ascii="times new roman" w:hAnsi="times new roman"/>
          <w:b w:val="false"/>
          <w:bCs w:val="false"/>
        </w:rPr>
        <w:t xml:space="preserve">It has separate encoders for each sense (video frame sequence, vision, hearing, reading) and a central "think tank" (often a Transformer) that mixes them together to understand context. Multimodal AI is much closer to how the human brain works. It uses vast labeled and unlabeled structured and unstructured raw text, images, audio and video from the web. It uses a technique called Contrastive Language-Image Pre-training (CLIP). </w:t>
      </w:r>
      <w:bookmarkStart w:id="0" w:name="p-rc_7d29076b80a19408-40"/>
      <w:bookmarkEnd w:id="0"/>
      <w:r>
        <w:rPr>
          <w:rFonts w:ascii="times new roman" w:hAnsi="times new roman"/>
          <w:b w:val="false"/>
          <w:bCs w:val="false"/>
        </w:rPr>
        <w:t>During training, the AI is shown millions of pairs (e.g., an image of a crop field and the text "yellowing of leaves"). The model learns to push the mathematical representations (vectors) of the image and the text closer together in a "shared space." If the "text vector" and the "image vector" land in almost the exact same spot in this digital map, the model's confidence score sky-rockets because the different senses are "agreeing" with each other ( Equation 2)</w:t>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t>P(Category | V</w:t>
      </w:r>
      <w:r>
        <w:rPr>
          <w:rFonts w:ascii="times new roman" w:hAnsi="times new roman"/>
          <w:b w:val="false"/>
          <w:bCs w:val="false"/>
          <w:vertAlign w:val="subscript"/>
        </w:rPr>
        <w:t>1:t</w:t>
      </w:r>
      <w:r>
        <w:rPr>
          <w:rFonts w:ascii="times new roman" w:hAnsi="times new roman"/>
          <w:b w:val="false"/>
          <w:bCs w:val="false"/>
        </w:rPr>
        <w:t>, A</w:t>
      </w:r>
      <w:r>
        <w:rPr>
          <w:rFonts w:ascii="times new roman" w:hAnsi="times new roman"/>
          <w:b w:val="false"/>
          <w:bCs w:val="false"/>
          <w:vertAlign w:val="subscript"/>
        </w:rPr>
        <w:t>1:t</w:t>
      </w:r>
      <w:r>
        <w:rPr>
          <w:rFonts w:ascii="times new roman" w:hAnsi="times new roman"/>
          <w:b w:val="false"/>
          <w:bCs w:val="false"/>
        </w:rPr>
        <w:t xml:space="preserve">, T)&gt; P(Category | Vision,Text,Audio) &gt; P(Category | Vision) </w:t>
      </w:r>
      <w:r>
        <w:rPr>
          <w:rFonts w:cs="Times New Roman" w:ascii="times new roman" w:hAnsi="times new roman"/>
          <w:b w:val="false"/>
          <w:bCs w:val="false"/>
          <w:i w:val="false"/>
          <w:iCs/>
          <w:caps w:val="false"/>
          <w:smallCaps w:val="false"/>
          <w:color w:val="0F1115"/>
          <w:spacing w:val="0"/>
          <w:sz w:val="24"/>
        </w:rPr>
        <w:t>-- (Equation 2)</w:t>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t>Because the model sees these three distinct "senses" cluster together thousands of times, it develops a high statistical probability that they represent the same concept. Mathematically, having more "senses" (features) usually reduces uncertainty, leading to high confidence. Modern multimodal models use Transformers with a "Cross-Attention" layer. This allows the model to focus on specific parts of one modality while processing another. High confidence is also a byproduct of scale. Multimodal AI is trained on billions of parameters. It is important to remember that a high confidence score is a mathematical calculation of how well the input matches the model's training data. It doesn't always mean the AI is "right" in the real world. It just means the AI is very certain that the input looks like something it has seen before. In agriculture, a video is significantly more powerful than a static image for diagnostic confidence. In 2026, agritech models are reaching 95% to 99% accuracy by moving from "spot-check" images to "environmental-flow" videos as shown under Table 1.</w:t>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r>
    </w:p>
    <w:p>
      <w:pPr>
        <w:pStyle w:val="BodyText"/>
        <w:widowControl/>
        <w:spacing w:before="240" w:after="240"/>
        <w:ind w:hanging="0" w:left="0" w:right="0"/>
        <w:jc w:val="left"/>
        <w:rPr>
          <w:rFonts w:ascii="times new roman" w:hAnsi="times new roman"/>
          <w:b w:val="false"/>
          <w:bCs w:val="false"/>
        </w:rPr>
      </w:pPr>
      <w:r>
        <w:rPr>
          <w:rFonts w:ascii="times new roman" w:hAnsi="times new roman"/>
          <w:b w:val="false"/>
          <w:bCs w:val="false"/>
        </w:rPr>
      </w:r>
    </w:p>
    <w:tbl>
      <w:tblPr>
        <w:tblW w:w="8194" w:type="dxa"/>
        <w:jc w:val="center"/>
        <w:tblInd w:w="0" w:type="dxa"/>
        <w:tblLayout w:type="fixed"/>
        <w:tblCellMar>
          <w:top w:w="0" w:type="dxa"/>
          <w:left w:w="30" w:type="dxa"/>
          <w:bottom w:w="0" w:type="dxa"/>
          <w:right w:w="30" w:type="dxa"/>
        </w:tblCellMar>
      </w:tblPr>
      <w:tblGrid>
        <w:gridCol w:w="1075"/>
        <w:gridCol w:w="2527"/>
        <w:gridCol w:w="4592"/>
      </w:tblGrid>
      <w:tr>
        <w:trPr>
          <w:trHeight w:val="363"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Modality</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Dimension</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What the AI Processes</w:t>
            </w:r>
          </w:p>
        </w:tc>
      </w:tr>
      <w:tr>
        <w:trPr>
          <w:trHeight w:val="336"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Text</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1D (Linear)</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Words, syntax, and sentiment.</w:t>
            </w:r>
          </w:p>
        </w:tc>
      </w:tr>
      <w:tr>
        <w:trPr>
          <w:trHeight w:val="221"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Image</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2D (Spatial)</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Colors, shapes, and objects.</w:t>
            </w:r>
          </w:p>
        </w:tc>
      </w:tr>
      <w:tr>
        <w:trPr>
          <w:trHeight w:val="363"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Audio</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1D (Temporal)</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Pitch, tone, and frequency.</w:t>
            </w:r>
          </w:p>
        </w:tc>
      </w:tr>
      <w:tr>
        <w:trPr>
          <w:trHeight w:val="348" w:hRule="atLeast"/>
        </w:trPr>
        <w:tc>
          <w:tcPr>
            <w:tcW w:w="1075"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Video</w:t>
            </w:r>
          </w:p>
        </w:tc>
        <w:tc>
          <w:tcPr>
            <w:tcW w:w="2527"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3D (Spatial + Temporal)</w:t>
            </w:r>
          </w:p>
        </w:tc>
        <w:tc>
          <w:tcPr>
            <w:tcW w:w="4592" w:type="dxa"/>
            <w:tcBorders/>
            <w:vAlign w:val="bottom"/>
          </w:tcPr>
          <w:p>
            <w:pPr>
              <w:pStyle w:val="Normal"/>
              <w:tabs>
                <w:tab w:val="clear" w:pos="11340"/>
              </w:tabs>
              <w:jc w:val="center"/>
              <w:rPr>
                <w:rFonts w:ascii="times new roman" w:hAnsi="times new roman"/>
                <w:b w:val="false"/>
                <w:bCs w:val="false"/>
              </w:rPr>
            </w:pPr>
            <w:r>
              <w:rPr>
                <w:rFonts w:ascii="times new roman" w:hAnsi="times new roman"/>
                <w:b w:val="false"/>
                <w:bCs w:val="false"/>
                <w:i w:val="false"/>
                <w:iCs w:val="false"/>
                <w:strike w:val="false"/>
                <w:dstrike w:val="false"/>
                <w:outline w:val="false"/>
                <w:shadow w:val="false"/>
                <w:color w:val="auto"/>
                <w:sz w:val="24"/>
                <w:szCs w:val="24"/>
                <w:u w:val="none"/>
              </w:rPr>
              <w:t>Motion, physics, and consistency over time.</w:t>
            </w:r>
          </w:p>
        </w:tc>
      </w:tr>
    </w:tbl>
    <w:p>
      <w:pPr>
        <w:pStyle w:val="Normal"/>
        <w:jc w:val="center"/>
        <w:rPr/>
      </w:pPr>
      <w:r>
        <w:rPr/>
      </w:r>
    </w:p>
    <w:p>
      <w:pPr>
        <w:pStyle w:val="Normal"/>
        <w:jc w:val="center"/>
        <w:rPr/>
      </w:pPr>
      <w:r>
        <w:rPr/>
        <w:t>Table 1. Multimodal AI Senses</w:t>
      </w:r>
    </w:p>
    <w:p>
      <w:pPr>
        <w:pStyle w:val="Normal"/>
        <w:jc w:val="center"/>
        <w:rPr/>
      </w:pPr>
      <w:r>
        <w:rPr/>
      </w:r>
    </w:p>
    <w:p>
      <w:pPr>
        <w:pStyle w:val="BodyText"/>
        <w:spacing w:lineRule="auto" w:line="274" w:before="0" w:after="140"/>
        <w:ind w:hanging="0" w:left="0" w:right="0"/>
        <w:jc w:val="left"/>
        <w:rPr>
          <w:rFonts w:ascii="times new roman" w:hAnsi="times new roman"/>
          <w:b w:val="false"/>
          <w:bCs w:val="false"/>
        </w:rPr>
      </w:pPr>
      <w:r>
        <w:rPr>
          <w:rFonts w:ascii="times new roman" w:hAnsi="times new roman"/>
          <w:b w:val="false"/>
          <w:bCs w:val="false"/>
        </w:rPr>
        <w:t>While single-image diagnostics provide a static snapshot of crop health, this framework utilizes multi-temporal self-attention to analyze n-day interval sequences. This approach formalizes the agricultural diagnostic process by capturing the phenological trajectory of the crop. Mathematically, the model minimizes uncertainty by aggregating evidence over n time-steps, where the confidence in a diagnostic status S is optimized by attending to the most relevant physiological transitions</w:t>
      </w:r>
      <w:r>
        <w:rPr>
          <w:rFonts w:ascii="times new roman" w:hAnsi="times new roman"/>
          <w:b w:val="false"/>
          <w:bCs w:val="false"/>
        </w:rPr>
        <w:t>(Equation 3)</w:t>
      </w:r>
      <w:r>
        <w:rPr>
          <w:rFonts w:ascii="times new roman" w:hAnsi="times new roman"/>
          <w:b w:val="false"/>
          <w:bCs w:val="false"/>
        </w:rPr>
        <w:t>:</w:t>
      </w:r>
    </w:p>
    <w:p>
      <w:pPr>
        <w:pStyle w:val="BodyText"/>
        <w:spacing w:lineRule="auto" w:line="274" w:before="0" w:after="140"/>
        <w:ind w:hanging="0" w:left="0" w:right="0"/>
        <w:jc w:val="center"/>
        <w:rPr/>
      </w:pPr>
      <w:r>
        <w:rPr>
          <w:rFonts w:ascii="times new roman" w:hAnsi="times new roman"/>
          <w:b w:val="false"/>
          <w:bCs w:val="false"/>
        </w:rPr>
        <w:t xml:space="preserve">Confidence(S) </w:t>
      </w:r>
      <w:r>
        <w:rPr>
          <w:rFonts w:eastAsia="Noto Serif CJK SC;SimSun" w:cs="Liberation Serif;HGPMinchoE" w:ascii="times new roman" w:hAnsi="times new roman"/>
          <w:b w:val="false"/>
          <w:bCs w:val="false"/>
        </w:rPr>
        <w:t xml:space="preserve">~ </w:t>
      </w:r>
      <w:r>
        <w:rPr>
          <w:rFonts w:ascii="times new roman" w:hAnsi="times new roman"/>
          <w:b w:val="false"/>
          <w:bCs w:val="false"/>
        </w:rPr>
        <w:t>Softmax( QK</w:t>
      </w:r>
      <w:r>
        <w:rPr>
          <w:rFonts w:ascii="times new roman" w:hAnsi="times new roman"/>
          <w:b w:val="false"/>
          <w:bCs w:val="false"/>
          <w:vertAlign w:val="superscript"/>
        </w:rPr>
        <w:t>T</w:t>
      </w:r>
      <w:r>
        <w:rPr>
          <w:rFonts w:ascii="times new roman" w:hAnsi="times new roman"/>
          <w:b w:val="false"/>
          <w:bCs w:val="false"/>
        </w:rPr>
        <w:t>/sqrt(d</w:t>
      </w:r>
      <w:r>
        <w:rPr>
          <w:rFonts w:ascii="times new roman" w:hAnsi="times new roman"/>
          <w:b w:val="false"/>
          <w:bCs w:val="false"/>
          <w:vertAlign w:val="subscript"/>
        </w:rPr>
        <w:t>k</w:t>
      </w:r>
      <w:r>
        <w:rPr>
          <w:rFonts w:ascii="times new roman" w:hAnsi="times new roman"/>
          <w:b w:val="false"/>
          <w:bCs w:val="false"/>
        </w:rPr>
        <w:t xml:space="preserve">) )V -- </w:t>
      </w:r>
      <w:r>
        <w:rPr>
          <w:rFonts w:ascii="times new roman" w:hAnsi="times new roman"/>
          <w:b w:val="false"/>
          <w:bCs w:val="false"/>
        </w:rPr>
        <w:t>Equation 3</w:t>
      </w:r>
    </w:p>
    <w:p>
      <w:pPr>
        <w:pStyle w:val="BodyText"/>
        <w:spacing w:lineRule="auto" w:line="274" w:before="0" w:after="140"/>
        <w:ind w:hanging="0" w:left="0" w:right="0"/>
        <w:rPr>
          <w:rFonts w:ascii="times new roman" w:hAnsi="times new roman"/>
          <w:b w:val="false"/>
          <w:bCs w:val="false"/>
        </w:rPr>
      </w:pPr>
      <w:r>
        <w:rPr>
          <w:rFonts w:ascii="times new roman" w:hAnsi="times new roman"/>
          <w:b w:val="false"/>
          <w:bCs w:val="false"/>
        </w:rPr>
        <w:t>In this formulation, the 'Query' (Q) represents the current crop state, while the 'Keys' (K) and 'Values' (V) represent the historical growth record. This ensures that transient noise (e.g., adverse lighting on a specific day) is de-weighted in favor of consistent biological trends.</w:t>
      </w:r>
    </w:p>
    <w:p>
      <w:pPr>
        <w:pStyle w:val="Normal"/>
        <w:widowControl/>
        <w:spacing w:lineRule="auto" w:line="240" w:before="240" w:after="240"/>
        <w:ind w:hanging="0" w:left="0" w:right="0"/>
        <w:jc w:val="left"/>
        <w:rPr>
          <w:rFonts w:ascii="times new roman" w:hAnsi="times new roman"/>
        </w:rPr>
      </w:pPr>
      <w:r>
        <w:rPr>
          <w:rFonts w:ascii="times new roman" w:hAnsi="times new roman"/>
        </w:rPr>
        <w:t xml:space="preserve">Yield estimation is modeled after evaluation of the Growing Degree Days (GDD) and yield potential based on the visual milestones and regional averages for the Indo-Gangetic plains. GDD is a measure of heat accumulation used to predict plant development rates. For wheat, we typically use a base temperature (T_base) of 5 deg Celsius. The formula (Equation </w:t>
      </w:r>
      <w:r>
        <w:rPr>
          <w:rFonts w:ascii="times new roman" w:hAnsi="times new roman"/>
        </w:rPr>
        <w:t>4</w:t>
      </w:r>
      <w:r>
        <w:rPr>
          <w:rFonts w:ascii="times new roman" w:hAnsi="times new roman"/>
        </w:rPr>
        <w:t>) used is:</w:t>
      </w:r>
    </w:p>
    <w:p>
      <w:pPr>
        <w:pStyle w:val="BodyText"/>
        <w:spacing w:lineRule="auto" w:line="274" w:before="0" w:after="140"/>
        <w:ind w:hanging="0" w:left="0" w:right="0"/>
        <w:jc w:val="center"/>
        <w:rPr>
          <w:rFonts w:ascii="times new roman" w:hAnsi="times new roman"/>
        </w:rPr>
      </w:pPr>
      <w:r>
        <w:rPr>
          <w:rFonts w:ascii="times new roman" w:hAnsi="times new roman"/>
        </w:rPr>
        <w:t xml:space="preserve">GDD  = </w:t>
      </w:r>
      <w:r>
        <w:rPr>
          <w:rFonts w:eastAsia="Noto Serif CJK SC;SimSun" w:cs="Liberation Serif;HGPMinchoE" w:ascii="Liberation Serif" w:hAnsi="Liberation Serif"/>
        </w:rPr>
        <w:t>Σ((</w:t>
      </w:r>
      <w:r>
        <w:rPr>
          <w:rFonts w:ascii="times new roman" w:hAnsi="times new roman"/>
        </w:rPr>
        <w:t xml:space="preserve">T_max + T_min)/2 – T_base) -- Equation </w:t>
      </w:r>
      <w:r>
        <w:rPr>
          <w:rFonts w:ascii="times new roman" w:hAnsi="times new roman"/>
        </w:rPr>
        <w:t>4</w:t>
      </w:r>
    </w:p>
    <w:p>
      <w:pPr>
        <w:pStyle w:val="BodyText"/>
        <w:spacing w:lineRule="auto" w:line="274" w:before="0" w:after="140"/>
        <w:ind w:hanging="0" w:left="0" w:right="0"/>
        <w:rPr>
          <w:rFonts w:ascii="times new roman" w:hAnsi="times new roman"/>
        </w:rPr>
      </w:pPr>
      <w:r>
        <w:rPr>
          <w:rFonts w:ascii="times new roman" w:hAnsi="times new roman"/>
        </w:rPr>
        <w:t xml:space="preserve">Based on the intervals in the image sequences (Nov–Apr), here is the estimated thermal accumulation required to reach the visual stages shown </w:t>
      </w:r>
      <w:r>
        <w:rPr>
          <w:rFonts w:ascii="times new roman" w:hAnsi="times new roman"/>
        </w:rPr>
        <w:t>(Table 2)</w:t>
      </w:r>
      <w:r>
        <w:rPr>
          <w:rFonts w:ascii="times new roman" w:hAnsi="times new roman"/>
        </w:rPr>
        <w:t>:</w:t>
      </w:r>
    </w:p>
    <w:p>
      <w:pPr>
        <w:pStyle w:val="BodyText"/>
        <w:spacing w:lineRule="auto" w:line="274" w:before="0" w:after="140"/>
        <w:ind w:hanging="0" w:left="0" w:right="0"/>
        <w:rPr>
          <w:rFonts w:ascii="times new roman" w:hAnsi="times new roman"/>
        </w:rPr>
      </w:pPr>
      <w:r>
        <w:rPr>
          <w:rFonts w:ascii="times new roman" w:hAnsi="times new roman"/>
        </w:rPr>
      </w:r>
    </w:p>
    <w:tbl>
      <w:tblPr>
        <w:tblW w:w="8014" w:type="dxa"/>
        <w:jc w:val="center"/>
        <w:tblInd w:w="0" w:type="dxa"/>
        <w:tblLayout w:type="fixed"/>
        <w:tblCellMar>
          <w:top w:w="0" w:type="dxa"/>
          <w:left w:w="30" w:type="dxa"/>
          <w:bottom w:w="0" w:type="dxa"/>
          <w:right w:w="30" w:type="dxa"/>
        </w:tblCellMar>
      </w:tblPr>
      <w:tblGrid>
        <w:gridCol w:w="2425"/>
        <w:gridCol w:w="1162"/>
        <w:gridCol w:w="1836"/>
        <w:gridCol w:w="2591"/>
      </w:tblGrid>
      <w:tr>
        <w:trPr>
          <w:trHeight w:val="625" w:hRule="atLeast"/>
        </w:trPr>
        <w:tc>
          <w:tcPr>
            <w:tcW w:w="2425" w:type="dxa"/>
            <w:tcBorders/>
            <w:vAlign w:val="bottom"/>
          </w:tcPr>
          <w:p>
            <w:pPr>
              <w:pStyle w:val="Normal"/>
              <w:tabs>
                <w:tab w:val="clear" w:pos="11340"/>
              </w:tabs>
              <w:jc w:val="left"/>
              <w:rPr/>
            </w:pPr>
            <w:r>
              <w:rPr>
                <w:rFonts w:ascii="Liberation Serif" w:hAnsi="Liberation Serif"/>
              </w:rPr>
              <w:t>Phase</w:t>
            </w:r>
          </w:p>
        </w:tc>
        <w:tc>
          <w:tcPr>
            <w:tcW w:w="1162" w:type="dxa"/>
            <w:tcBorders/>
            <w:vAlign w:val="bottom"/>
          </w:tcPr>
          <w:p>
            <w:pPr>
              <w:pStyle w:val="Normal"/>
              <w:tabs>
                <w:tab w:val="clear" w:pos="11340"/>
              </w:tabs>
              <w:jc w:val="left"/>
              <w:rPr/>
            </w:pPr>
            <w:r>
              <w:rPr>
                <w:rFonts w:ascii="Liberation Serif" w:hAnsi="Liberation Serif"/>
              </w:rPr>
              <w:t>Est. Days</w:t>
            </w:r>
          </w:p>
        </w:tc>
        <w:tc>
          <w:tcPr>
            <w:tcW w:w="1836" w:type="dxa"/>
            <w:tcBorders/>
            <w:vAlign w:val="bottom"/>
          </w:tcPr>
          <w:p>
            <w:pPr>
              <w:pStyle w:val="Normal"/>
              <w:tabs>
                <w:tab w:val="clear" w:pos="11340"/>
              </w:tabs>
              <w:jc w:val="left"/>
              <w:rPr/>
            </w:pPr>
            <w:r>
              <w:rPr>
                <w:rFonts w:ascii="Liberation Serif" w:hAnsi="Liberation Serif"/>
              </w:rPr>
              <w:t>Cumulative GDD (base 5 deg C)</w:t>
            </w:r>
          </w:p>
        </w:tc>
        <w:tc>
          <w:tcPr>
            <w:tcW w:w="2591" w:type="dxa"/>
            <w:tcBorders/>
            <w:vAlign w:val="bottom"/>
          </w:tcPr>
          <w:p>
            <w:pPr>
              <w:pStyle w:val="Normal"/>
              <w:tabs>
                <w:tab w:val="clear" w:pos="11340"/>
              </w:tabs>
              <w:jc w:val="left"/>
              <w:rPr/>
            </w:pPr>
            <w:r>
              <w:rPr>
                <w:rFonts w:ascii="Liberation Serif" w:hAnsi="Liberation Serif"/>
              </w:rPr>
              <w:t>Visual Marker in Image</w:t>
            </w:r>
          </w:p>
        </w:tc>
      </w:tr>
      <w:tr>
        <w:trPr>
          <w:trHeight w:val="701" w:hRule="atLeast"/>
        </w:trPr>
        <w:tc>
          <w:tcPr>
            <w:tcW w:w="2425" w:type="dxa"/>
            <w:tcBorders/>
            <w:vAlign w:val="bottom"/>
          </w:tcPr>
          <w:p>
            <w:pPr>
              <w:pStyle w:val="Normal"/>
              <w:tabs>
                <w:tab w:val="clear" w:pos="11340"/>
              </w:tabs>
              <w:jc w:val="left"/>
              <w:rPr/>
            </w:pPr>
            <w:r>
              <w:rPr>
                <w:rFonts w:ascii="Liberation Serif" w:hAnsi="Liberation Serif"/>
              </w:rPr>
              <w:t>Sowing to Seedling</w:t>
            </w:r>
          </w:p>
        </w:tc>
        <w:tc>
          <w:tcPr>
            <w:tcW w:w="1162" w:type="dxa"/>
            <w:tcBorders/>
            <w:vAlign w:val="bottom"/>
          </w:tcPr>
          <w:p>
            <w:pPr>
              <w:pStyle w:val="Normal"/>
              <w:tabs>
                <w:tab w:val="clear" w:pos="11340"/>
              </w:tabs>
              <w:jc w:val="left"/>
              <w:rPr/>
            </w:pPr>
            <w:r>
              <w:rPr>
                <w:rFonts w:ascii="Liberation Serif" w:hAnsi="Liberation Serif"/>
              </w:rPr>
              <w:t>0–15</w:t>
            </w:r>
          </w:p>
        </w:tc>
        <w:tc>
          <w:tcPr>
            <w:tcW w:w="1836" w:type="dxa"/>
            <w:tcBorders/>
            <w:vAlign w:val="bottom"/>
          </w:tcPr>
          <w:p>
            <w:pPr>
              <w:pStyle w:val="Normal"/>
              <w:tabs>
                <w:tab w:val="clear" w:pos="11340"/>
              </w:tabs>
              <w:jc w:val="left"/>
              <w:rPr/>
            </w:pPr>
            <w:r>
              <w:rPr>
                <w:rFonts w:ascii="Liberation Serif" w:hAnsi="Liberation Serif"/>
              </w:rPr>
              <w:t>150 – 200</w:t>
            </w:r>
          </w:p>
        </w:tc>
        <w:tc>
          <w:tcPr>
            <w:tcW w:w="2591" w:type="dxa"/>
            <w:tcBorders/>
            <w:vAlign w:val="bottom"/>
          </w:tcPr>
          <w:p>
            <w:pPr>
              <w:pStyle w:val="Normal"/>
              <w:tabs>
                <w:tab w:val="clear" w:pos="11340"/>
              </w:tabs>
              <w:jc w:val="left"/>
              <w:rPr/>
            </w:pPr>
            <w:r>
              <w:rPr>
                <w:rFonts w:ascii="Liberation Serif" w:hAnsi="Liberation Serif"/>
              </w:rPr>
              <w:t>Not explicitly shown (pre-video).</w:t>
            </w:r>
          </w:p>
        </w:tc>
      </w:tr>
      <w:tr>
        <w:trPr>
          <w:trHeight w:val="701" w:hRule="atLeast"/>
        </w:trPr>
        <w:tc>
          <w:tcPr>
            <w:tcW w:w="2425" w:type="dxa"/>
            <w:tcBorders/>
            <w:vAlign w:val="bottom"/>
          </w:tcPr>
          <w:p>
            <w:pPr>
              <w:pStyle w:val="Normal"/>
              <w:tabs>
                <w:tab w:val="clear" w:pos="11340"/>
              </w:tabs>
              <w:jc w:val="left"/>
              <w:rPr/>
            </w:pPr>
            <w:r>
              <w:rPr>
                <w:rFonts w:ascii="Liberation Serif" w:hAnsi="Liberation Serif"/>
              </w:rPr>
              <w:t>Tillering</w:t>
            </w:r>
          </w:p>
        </w:tc>
        <w:tc>
          <w:tcPr>
            <w:tcW w:w="1162" w:type="dxa"/>
            <w:tcBorders/>
            <w:vAlign w:val="bottom"/>
          </w:tcPr>
          <w:p>
            <w:pPr>
              <w:pStyle w:val="Normal"/>
              <w:tabs>
                <w:tab w:val="clear" w:pos="11340"/>
              </w:tabs>
              <w:jc w:val="left"/>
              <w:rPr/>
            </w:pPr>
            <w:r>
              <w:rPr>
                <w:rFonts w:ascii="Liberation Serif" w:hAnsi="Liberation Serif"/>
              </w:rPr>
              <w:t>15–45</w:t>
            </w:r>
          </w:p>
        </w:tc>
        <w:tc>
          <w:tcPr>
            <w:tcW w:w="1836" w:type="dxa"/>
            <w:tcBorders/>
            <w:vAlign w:val="bottom"/>
          </w:tcPr>
          <w:p>
            <w:pPr>
              <w:pStyle w:val="Normal"/>
              <w:tabs>
                <w:tab w:val="clear" w:pos="11340"/>
              </w:tabs>
              <w:jc w:val="left"/>
              <w:rPr/>
            </w:pPr>
            <w:r>
              <w:rPr>
                <w:rFonts w:ascii="Liberation Serif" w:hAnsi="Liberation Serif"/>
              </w:rPr>
              <w:t>450 – 650</w:t>
            </w:r>
          </w:p>
        </w:tc>
        <w:tc>
          <w:tcPr>
            <w:tcW w:w="2591" w:type="dxa"/>
            <w:tcBorders/>
            <w:vAlign w:val="bottom"/>
          </w:tcPr>
          <w:p>
            <w:pPr>
              <w:pStyle w:val="Normal"/>
              <w:tabs>
                <w:tab w:val="clear" w:pos="11340"/>
              </w:tabs>
              <w:jc w:val="left"/>
              <w:rPr/>
            </w:pPr>
            <w:r>
              <w:rPr>
                <w:rFonts w:ascii="Liberation Serif" w:hAnsi="Liberation Serif"/>
              </w:rPr>
              <w:t>0:00 - 0:10 (Vibrant green carpet).</w:t>
            </w:r>
          </w:p>
        </w:tc>
      </w:tr>
      <w:tr>
        <w:trPr>
          <w:trHeight w:val="701" w:hRule="atLeast"/>
        </w:trPr>
        <w:tc>
          <w:tcPr>
            <w:tcW w:w="2425" w:type="dxa"/>
            <w:tcBorders/>
            <w:vAlign w:val="bottom"/>
          </w:tcPr>
          <w:p>
            <w:pPr>
              <w:pStyle w:val="Normal"/>
              <w:tabs>
                <w:tab w:val="clear" w:pos="11340"/>
              </w:tabs>
              <w:jc w:val="left"/>
              <w:rPr/>
            </w:pPr>
            <w:r>
              <w:rPr>
                <w:rFonts w:ascii="Liberation Serif" w:hAnsi="Liberation Serif"/>
              </w:rPr>
              <w:t>Jointing/Booting</w:t>
            </w:r>
          </w:p>
        </w:tc>
        <w:tc>
          <w:tcPr>
            <w:tcW w:w="1162" w:type="dxa"/>
            <w:tcBorders/>
            <w:vAlign w:val="bottom"/>
          </w:tcPr>
          <w:p>
            <w:pPr>
              <w:pStyle w:val="Normal"/>
              <w:tabs>
                <w:tab w:val="clear" w:pos="11340"/>
              </w:tabs>
              <w:jc w:val="left"/>
              <w:rPr/>
            </w:pPr>
            <w:r>
              <w:rPr>
                <w:rFonts w:ascii="Liberation Serif" w:hAnsi="Liberation Serif"/>
              </w:rPr>
              <w:t>45–90</w:t>
            </w:r>
          </w:p>
        </w:tc>
        <w:tc>
          <w:tcPr>
            <w:tcW w:w="1836" w:type="dxa"/>
            <w:tcBorders/>
            <w:vAlign w:val="bottom"/>
          </w:tcPr>
          <w:p>
            <w:pPr>
              <w:pStyle w:val="Normal"/>
              <w:tabs>
                <w:tab w:val="clear" w:pos="11340"/>
              </w:tabs>
              <w:jc w:val="left"/>
              <w:rPr/>
            </w:pPr>
            <w:r>
              <w:rPr>
                <w:rFonts w:ascii="Liberation Serif" w:hAnsi="Liberation Serif"/>
              </w:rPr>
              <w:t>1100 – 1350</w:t>
            </w:r>
          </w:p>
        </w:tc>
        <w:tc>
          <w:tcPr>
            <w:tcW w:w="2591" w:type="dxa"/>
            <w:tcBorders/>
            <w:vAlign w:val="bottom"/>
          </w:tcPr>
          <w:p>
            <w:pPr>
              <w:pStyle w:val="Normal"/>
              <w:tabs>
                <w:tab w:val="clear" w:pos="11340"/>
              </w:tabs>
              <w:jc w:val="left"/>
              <w:rPr/>
            </w:pPr>
            <w:r>
              <w:rPr>
                <w:rFonts w:ascii="Liberation Serif" w:hAnsi="Liberation Serif"/>
              </w:rPr>
              <w:t>0:15 - 0:25 (Rapid height increase).</w:t>
            </w:r>
          </w:p>
        </w:tc>
      </w:tr>
      <w:tr>
        <w:trPr>
          <w:trHeight w:val="709" w:hRule="atLeast"/>
        </w:trPr>
        <w:tc>
          <w:tcPr>
            <w:tcW w:w="2425" w:type="dxa"/>
            <w:tcBorders/>
            <w:vAlign w:val="bottom"/>
          </w:tcPr>
          <w:p>
            <w:pPr>
              <w:pStyle w:val="Normal"/>
              <w:tabs>
                <w:tab w:val="clear" w:pos="11340"/>
              </w:tabs>
              <w:jc w:val="left"/>
              <w:rPr/>
            </w:pPr>
            <w:r>
              <w:rPr>
                <w:rFonts w:ascii="Liberation Serif" w:hAnsi="Liberation Serif"/>
              </w:rPr>
              <w:t>Anthesis (Flowering)</w:t>
            </w:r>
          </w:p>
        </w:tc>
        <w:tc>
          <w:tcPr>
            <w:tcW w:w="1162" w:type="dxa"/>
            <w:tcBorders/>
            <w:vAlign w:val="bottom"/>
          </w:tcPr>
          <w:p>
            <w:pPr>
              <w:pStyle w:val="Normal"/>
              <w:tabs>
                <w:tab w:val="clear" w:pos="11340"/>
              </w:tabs>
              <w:jc w:val="left"/>
              <w:rPr/>
            </w:pPr>
            <w:r>
              <w:rPr>
                <w:rFonts w:ascii="Liberation Serif" w:hAnsi="Liberation Serif"/>
              </w:rPr>
              <w:t>90–110</w:t>
            </w:r>
          </w:p>
        </w:tc>
        <w:tc>
          <w:tcPr>
            <w:tcW w:w="1836" w:type="dxa"/>
            <w:tcBorders/>
            <w:vAlign w:val="bottom"/>
          </w:tcPr>
          <w:p>
            <w:pPr>
              <w:pStyle w:val="Normal"/>
              <w:tabs>
                <w:tab w:val="clear" w:pos="11340"/>
              </w:tabs>
              <w:jc w:val="left"/>
              <w:rPr/>
            </w:pPr>
            <w:r>
              <w:rPr>
                <w:rFonts w:ascii="Liberation Serif" w:hAnsi="Liberation Serif"/>
              </w:rPr>
              <w:t>1500 – 1750</w:t>
            </w:r>
          </w:p>
        </w:tc>
        <w:tc>
          <w:tcPr>
            <w:tcW w:w="2591" w:type="dxa"/>
            <w:tcBorders/>
            <w:vAlign w:val="bottom"/>
          </w:tcPr>
          <w:p>
            <w:pPr>
              <w:pStyle w:val="Normal"/>
              <w:tabs>
                <w:tab w:val="clear" w:pos="11340"/>
              </w:tabs>
              <w:jc w:val="left"/>
              <w:rPr/>
            </w:pPr>
            <w:r>
              <w:rPr>
                <w:rFonts w:ascii="Liberation Serif" w:hAnsi="Liberation Serif"/>
              </w:rPr>
              <w:t>0:30 (Maximum canopy density).</w:t>
            </w:r>
          </w:p>
        </w:tc>
      </w:tr>
      <w:tr>
        <w:trPr>
          <w:trHeight w:val="537" w:hRule="atLeast"/>
        </w:trPr>
        <w:tc>
          <w:tcPr>
            <w:tcW w:w="2425" w:type="dxa"/>
            <w:tcBorders/>
            <w:vAlign w:val="bottom"/>
          </w:tcPr>
          <w:p>
            <w:pPr>
              <w:pStyle w:val="Normal"/>
              <w:tabs>
                <w:tab w:val="clear" w:pos="11340"/>
              </w:tabs>
              <w:jc w:val="left"/>
              <w:rPr/>
            </w:pPr>
            <w:r>
              <w:rPr>
                <w:rFonts w:ascii="Liberation Serif" w:hAnsi="Liberation Serif"/>
              </w:rPr>
              <w:t>Maturity (Dough stage)</w:t>
            </w:r>
          </w:p>
        </w:tc>
        <w:tc>
          <w:tcPr>
            <w:tcW w:w="1162" w:type="dxa"/>
            <w:tcBorders/>
            <w:vAlign w:val="bottom"/>
          </w:tcPr>
          <w:p>
            <w:pPr>
              <w:pStyle w:val="Normal"/>
              <w:tabs>
                <w:tab w:val="clear" w:pos="11340"/>
              </w:tabs>
              <w:jc w:val="left"/>
              <w:rPr/>
            </w:pPr>
            <w:r>
              <w:rPr>
                <w:rFonts w:ascii="Liberation Serif" w:hAnsi="Liberation Serif"/>
              </w:rPr>
              <w:t>110–140</w:t>
            </w:r>
          </w:p>
        </w:tc>
        <w:tc>
          <w:tcPr>
            <w:tcW w:w="1836" w:type="dxa"/>
            <w:tcBorders/>
            <w:vAlign w:val="bottom"/>
          </w:tcPr>
          <w:p>
            <w:pPr>
              <w:pStyle w:val="Normal"/>
              <w:tabs>
                <w:tab w:val="clear" w:pos="11340"/>
              </w:tabs>
              <w:jc w:val="left"/>
              <w:rPr/>
            </w:pPr>
            <w:r>
              <w:rPr>
                <w:rFonts w:ascii="Liberation Serif" w:hAnsi="Liberation Serif"/>
              </w:rPr>
              <w:t>2100 – 2400</w:t>
            </w:r>
          </w:p>
        </w:tc>
        <w:tc>
          <w:tcPr>
            <w:tcW w:w="2591" w:type="dxa"/>
            <w:tcBorders/>
            <w:vAlign w:val="bottom"/>
          </w:tcPr>
          <w:p>
            <w:pPr>
              <w:pStyle w:val="Normal"/>
              <w:tabs>
                <w:tab w:val="clear" w:pos="11340"/>
              </w:tabs>
              <w:jc w:val="left"/>
              <w:rPr/>
            </w:pPr>
            <w:r>
              <w:rPr>
                <w:rFonts w:ascii="Liberation Serif" w:hAnsi="Liberation Serif"/>
              </w:rPr>
              <w:t>0:40 - 0:49 (Golden color/Senescence).</w:t>
            </w:r>
          </w:p>
        </w:tc>
      </w:tr>
    </w:tbl>
    <w:p>
      <w:pPr>
        <w:pStyle w:val="Normal"/>
        <w:rPr/>
      </w:pPr>
      <w:r>
        <w:rPr/>
      </w:r>
    </w:p>
    <w:p>
      <w:pPr>
        <w:pStyle w:val="BodyText"/>
        <w:spacing w:lineRule="auto" w:line="274" w:before="0" w:after="140"/>
        <w:ind w:hanging="0" w:left="0" w:right="0"/>
        <w:jc w:val="center"/>
        <w:rPr>
          <w:rFonts w:ascii="times new roman" w:hAnsi="times new roman"/>
          <w:b w:val="false"/>
          <w:bCs w:val="false"/>
        </w:rPr>
      </w:pPr>
      <w:r>
        <w:rPr>
          <w:rFonts w:ascii="times new roman" w:hAnsi="times new roman"/>
          <w:b w:val="false"/>
          <w:bCs w:val="false"/>
        </w:rPr>
        <w:t>Table 2.  Estimated thermal accumulation</w:t>
      </w:r>
    </w:p>
    <w:p>
      <w:pPr>
        <w:pStyle w:val="Normal"/>
        <w:spacing w:lineRule="auto" w:line="274" w:before="0" w:after="140"/>
        <w:ind w:hanging="0" w:left="0" w:right="0"/>
        <w:jc w:val="left"/>
        <w:rPr>
          <w:rFonts w:ascii="times new roman" w:hAnsi="times new roman"/>
          <w:b w:val="false"/>
          <w:bCs w:val="false"/>
        </w:rPr>
      </w:pPr>
      <w:r>
        <w:rPr>
          <w:rFonts w:ascii="times new roman" w:hAnsi="times new roman"/>
          <w:b w:val="false"/>
          <w:bCs w:val="false"/>
        </w:rPr>
        <w:t>Estimating yield from images involves looking at "Yield Components": spikes per unit area, grains per spike, and grain weight.</w:t>
      </w:r>
    </w:p>
    <w:p>
      <w:pPr>
        <w:pStyle w:val="Normal"/>
        <w:jc w:val="both"/>
        <w:rPr/>
      </w:pPr>
      <w:r>
        <w:rPr>
          <w:rStyle w:val="Strong"/>
          <w:rFonts w:cs="Times New Roman" w:ascii="times new roman" w:hAnsi="times new roman"/>
          <w:b w:val="false"/>
          <w:bCs w:val="false"/>
          <w:i w:val="false"/>
          <w:caps w:val="false"/>
          <w:smallCaps w:val="false"/>
          <w:color w:val="0F1115"/>
          <w:spacing w:val="0"/>
          <w:sz w:val="24"/>
          <w:szCs w:val="24"/>
        </w:rPr>
        <w:t xml:space="preserve">3. </w:t>
      </w:r>
      <w:r>
        <w:rPr>
          <w:rStyle w:val="Strong"/>
          <w:rFonts w:cs="Times New Roman" w:ascii="Arial" w:hAnsi="Arial"/>
          <w:b w:val="false"/>
          <w:bCs w:val="false"/>
          <w:i w:val="false"/>
          <w:caps w:val="false"/>
          <w:smallCaps w:val="false"/>
          <w:color w:val="000000"/>
          <w:spacing w:val="0"/>
          <w:sz w:val="24"/>
          <w:szCs w:val="24"/>
        </w:rPr>
        <w:t>Digital AI Framework</w:t>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both"/>
        <w:rPr/>
      </w:pPr>
      <w:r>
        <w:rPr>
          <w:rStyle w:val="Strong"/>
          <w:rFonts w:cs="Times New Roman" w:ascii="Arial" w:hAnsi="Arial"/>
          <w:b w:val="false"/>
          <w:bCs w:val="false"/>
          <w:i w:val="false"/>
          <w:caps w:val="false"/>
          <w:smallCaps w:val="false"/>
          <w:color w:val="000000"/>
          <w:spacing w:val="0"/>
          <w:sz w:val="24"/>
          <w:szCs w:val="24"/>
        </w:rPr>
        <w:t>There are four steps to this Gemini AI model experimental framework (Figure 1)</w:t>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drawing>
          <wp:anchor distT="0" distB="0" distL="0" distR="0" simplePos="0" relativeHeight="2" behindDoc="0" locked="0" layoutInCell="0" allowOverlap="1">
            <wp:simplePos x="0" y="0"/>
            <wp:positionH relativeFrom="column">
              <wp:posOffset>532130</wp:posOffset>
            </wp:positionH>
            <wp:positionV relativeFrom="paragraph">
              <wp:posOffset>121285</wp:posOffset>
            </wp:positionV>
            <wp:extent cx="5055870" cy="28009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055870" cy="2800985"/>
                    </a:xfrm>
                    <a:prstGeom prst="rect">
                      <a:avLst/>
                    </a:prstGeom>
                    <a:noFill/>
                  </pic:spPr>
                </pic:pic>
              </a:graphicData>
            </a:graphic>
          </wp:anchor>
        </w:drawing>
      </w:r>
    </w:p>
    <w:p>
      <w:pPr>
        <w:pStyle w:val="Normal"/>
        <w:jc w:val="both"/>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jc w:val="left"/>
        <w:rPr>
          <w:rStyle w:val="Strong"/>
          <w:rFonts w:ascii="Arial" w:hAnsi="Arial" w:cs="Times New Roman"/>
          <w:b w:val="false"/>
          <w:bCs w:val="false"/>
          <w:i w:val="false"/>
          <w:caps w:val="false"/>
          <w:smallCaps w:val="false"/>
          <w:color w:val="000000"/>
          <w:spacing w:val="0"/>
          <w:sz w:val="24"/>
          <w:szCs w:val="24"/>
        </w:rPr>
      </w:pPr>
      <w:r>
        <w:rPr>
          <w:rFonts w:cs="Times New Roman" w:ascii="Arial" w:hAnsi="Arial"/>
          <w:b w:val="false"/>
          <w:bCs w:val="false"/>
          <w:i w:val="false"/>
          <w:caps w:val="false"/>
          <w:smallCaps w:val="false"/>
          <w:color w:val="000000"/>
          <w:spacing w:val="0"/>
          <w:sz w:val="24"/>
          <w:szCs w:val="24"/>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numPr>
          <w:ilvl w:val="0"/>
          <w:numId w:val="1"/>
        </w:numPr>
        <w:bidi w:val="0"/>
        <w:ind w:hanging="0" w:left="0"/>
        <w:jc w:val="center"/>
        <w:rPr>
          <w:rFonts w:ascii="Times New Roman" w:hAnsi="Times New Roman"/>
        </w:rPr>
      </w:pPr>
      <w:r>
        <w:rPr>
          <w:rStyle w:val="Strong"/>
          <w:rFonts w:ascii="Times New Roman" w:hAnsi="Times New Roman"/>
          <w:b w:val="false"/>
          <w:bCs w:val="false"/>
        </w:rPr>
        <w:t>Figure 1. 4-step AI experimental framework</w:t>
      </w:r>
    </w:p>
    <w:p>
      <w:pPr>
        <w:pStyle w:val="Normal"/>
        <w:numPr>
          <w:ilvl w:val="0"/>
          <w:numId w:val="1"/>
        </w:numPr>
        <w:bidi w:val="0"/>
        <w:ind w:hanging="0" w:left="0"/>
        <w:jc w:val="center"/>
        <w:rPr>
          <w:rFonts w:ascii="Times New Roman" w:hAnsi="Times New Roman"/>
        </w:rPr>
      </w:pPr>
      <w:r>
        <w:rPr>
          <w:rFonts w:ascii="Times New Roman" w:hAnsi="Times New Roman"/>
        </w:rPr>
      </w:r>
    </w:p>
    <w:p>
      <w:pPr>
        <w:pStyle w:val="Normal"/>
        <w:jc w:val="both"/>
        <w:rPr/>
      </w:pPr>
      <w:r>
        <w:rPr>
          <w:rStyle w:val="Strong"/>
          <w:rFonts w:cs="Times New Roman" w:ascii="Arial" w:hAnsi="Arial"/>
          <w:b w:val="false"/>
          <w:bCs w:val="false"/>
          <w:i w:val="false"/>
          <w:caps w:val="false"/>
          <w:smallCaps w:val="false"/>
          <w:color w:val="000000"/>
          <w:spacing w:val="0"/>
          <w:sz w:val="24"/>
          <w:szCs w:val="24"/>
        </w:rPr>
        <w:t>3.1. Step 1</w:t>
      </w:r>
    </w:p>
    <w:p>
      <w:pPr>
        <w:pStyle w:val="Normal"/>
        <w:jc w:val="both"/>
        <w:rPr/>
      </w:pPr>
      <w:r>
        <w:rPr>
          <w:rStyle w:val="Strong"/>
          <w:rFonts w:cs="Times New Roman" w:ascii="times new roman" w:hAnsi="times new roman"/>
          <w:b w:val="false"/>
          <w:bCs w:val="false"/>
          <w:i w:val="false"/>
          <w:caps w:val="false"/>
          <w:smallCaps w:val="false"/>
          <w:color w:val="000000"/>
          <w:spacing w:val="0"/>
          <w:sz w:val="24"/>
          <w:szCs w:val="24"/>
        </w:rPr>
        <w:t xml:space="preserve">Capture (The Dataset):  High-resolution, </w:t>
      </w:r>
      <w:r>
        <w:rPr>
          <w:rFonts w:ascii="times new roman" w:hAnsi="times new roman"/>
          <w:b w:val="false"/>
          <w:bCs w:val="false"/>
          <w:color w:val="000000"/>
          <w:spacing w:val="0"/>
        </w:rPr>
        <w:t>field-specific geotagged photos and short videos of crop field capable of identifying healthy, stressed, diseased and problematic crops arising out of unpredictable climate impacts.</w:t>
      </w:r>
    </w:p>
    <w:p>
      <w:pPr>
        <w:pStyle w:val="Normal"/>
        <w:jc w:val="both"/>
        <w:rPr>
          <w:rFonts w:ascii="times new roman" w:hAnsi="times new roman"/>
          <w:b w:val="false"/>
          <w:bCs w:val="false"/>
          <w:color w:val="000000"/>
          <w:spacing w:val="0"/>
        </w:rPr>
      </w:pPr>
      <w:r>
        <w:rPr>
          <w:rFonts w:ascii="times new roman" w:hAnsi="times new roman"/>
          <w:b w:val="false"/>
          <w:bCs w:val="false"/>
          <w:color w:val="000000"/>
          <w:spacing w:val="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1661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6120130" cy="3166110"/>
                    </a:xfrm>
                    <a:prstGeom prst="rect">
                      <a:avLst/>
                    </a:prstGeom>
                    <a:noFill/>
                  </pic:spPr>
                </pic:pic>
              </a:graphicData>
            </a:graphic>
          </wp:anchor>
        </w:drawing>
      </w:r>
    </w:p>
    <w:p>
      <w:pPr>
        <w:pStyle w:val="Normal"/>
        <w:jc w:val="center"/>
        <w:rPr>
          <w:rFonts w:ascii="times new roman" w:hAnsi="times new roman"/>
          <w:b w:val="false"/>
          <w:bCs w:val="false"/>
          <w:color w:val="000000"/>
          <w:spacing w:val="0"/>
        </w:rPr>
      </w:pPr>
      <w:r>
        <w:rPr>
          <w:rFonts w:ascii="times new roman" w:hAnsi="times new roman"/>
          <w:b w:val="false"/>
          <w:bCs w:val="false"/>
          <w:color w:val="000000"/>
          <w:spacing w:val="0"/>
        </w:rPr>
        <w:t>Figure 2. Geotagged Images</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t>3.2 Step 2</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ascii="times new roman" w:hAnsi="times new roman"/>
          <w:b w:val="false"/>
          <w:bCs w:val="false"/>
          <w:color w:val="000000"/>
          <w:spacing w:val="0"/>
        </w:rPr>
        <w:t>Prompt (The Interface): Using the Gemini Mobile App, the farmer uploads the image(input data) and prompts (voice/text queries in local language) for  diagnostic details .</w:t>
      </w:r>
    </w:p>
    <w:p>
      <w:pPr>
        <w:pStyle w:val="Normal"/>
        <w:jc w:val="both"/>
        <w:rPr>
          <w:rStyle w:val="Strong"/>
          <w:rFonts w:ascii="times new roman" w:hAnsi="times new roman" w:cs="Times New Roman"/>
          <w:b w:val="false"/>
          <w:bCs w:val="false"/>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 xml:space="preserve">English </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"Analyze the 5 images at [29.76412,76.8340754] containing  (Feb,2018) to (Apr,2018).Please provide a comprehensive report including:</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Phenological Timeline: Identify key growth stages (Tillering, Heading, Anthesis, Maturity) linked to video timestamps.</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 xml:space="preserve">Thermal Accumulation: Calculate estimated Cumulative Growing Degree Days (GDD) using a base temperature of [5 deg C]. </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Anomaly Detection: Identify any visual stressors (lodging, chlorosis, water stress, or pest damage) and the exact timestamp they appear.</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Yield Prediction: Estimate the potential yield (t/ha) based on regional benchmarks for these coordinates, adjusting for any observed stressors.</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Confidence Score: Assign a 1–100 confidence rating for the analysis based on visual clarity and available environmental data.Present the final data in a structured table and provide a concise summary of the season's performance."</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Hindi (</w:t>
      </w:r>
      <w:r>
        <w:rPr>
          <w:rFonts w:ascii="times new roman" w:hAnsi="times new roman" w:cs="times new roman"/>
          <w:b w:val="false"/>
          <w:b w:val="false"/>
          <w:bCs w:val="false"/>
          <w:color w:val="000000"/>
          <w:spacing w:val="0"/>
          <w:sz w:val="24"/>
          <w:szCs w:val="24"/>
        </w:rPr>
        <w:t>हिन्दी</w:t>
      </w:r>
      <w:r>
        <w:rPr>
          <w:rFonts w:cs="times new roman" w:ascii="times new roman" w:hAnsi="times new roman"/>
          <w:b w:val="false"/>
          <w:bCs w:val="false"/>
          <w:color w:val="000000"/>
          <w:spacing w:val="0"/>
          <w:sz w:val="24"/>
          <w:szCs w:val="24"/>
        </w:rPr>
        <w:t>)</w:t>
      </w:r>
    </w:p>
    <w:p>
      <w:pPr>
        <w:pStyle w:val="BodyText"/>
        <w:keepNext w:val="false"/>
        <w:pageBreakBefore w:val="false"/>
        <w:widowControl/>
        <w:suppressAutoHyphens w:val="true"/>
        <w:spacing w:lineRule="auto" w:line="274" w:before="0" w:after="150"/>
        <w:ind w:hanging="0" w:left="0" w:right="0"/>
        <w:rPr>
          <w:rFonts w:ascii="times new roman" w:hAnsi="times new roman" w:eastAsia="DejaVu Sans" w:cs="times new roman"/>
          <w:b w:val="false"/>
          <w:bCs w:val="false"/>
          <w:color w:val="1F1F1F"/>
        </w:rPr>
      </w:pPr>
      <w:r>
        <w:rPr>
          <w:rFonts w:eastAsia="DejaVu Sans" w:cs="times new roman" w:ascii="times new roman" w:hAnsi="times new roman"/>
          <w:b w:val="false"/>
          <w:bCs w:val="false"/>
          <w:color w:val="1F1F1F"/>
        </w:rPr>
        <w:t>“</w:t>
      </w:r>
      <w:r>
        <w:rPr>
          <w:rFonts w:eastAsia="DejaVu Sans" w:cs="times new roman" w:ascii="times new roman" w:hAnsi="times new roman"/>
          <w:b w:val="false"/>
          <w:bCs w:val="false"/>
          <w:color w:val="1F1F1F"/>
        </w:rPr>
        <w:t xml:space="preserve">[29.97071077, 76.9497227] </w:t>
      </w:r>
      <w:r>
        <w:rPr>
          <w:rFonts w:ascii="times new roman" w:hAnsi="times new roman" w:eastAsia="DejaVu Sans" w:cs="times new roman"/>
          <w:b w:val="false"/>
          <w:b w:val="false"/>
          <w:bCs w:val="false"/>
          <w:color w:val="1F1F1F"/>
        </w:rPr>
        <w:t xml:space="preserve">पर स्थित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फरवरी</w:t>
      </w:r>
      <w:r>
        <w:rPr>
          <w:rFonts w:eastAsia="DejaVu Sans" w:cs="times new roman" w:ascii="times new roman" w:hAnsi="times new roman"/>
          <w:b w:val="false"/>
          <w:bCs w:val="false"/>
          <w:color w:val="1F1F1F"/>
        </w:rPr>
        <w:t xml:space="preserve">, 2018 </w:t>
      </w:r>
      <w:r>
        <w:rPr>
          <w:rFonts w:ascii="times new roman" w:hAnsi="times new roman" w:eastAsia="DejaVu Sans" w:cs="times new roman"/>
          <w:b w:val="false"/>
          <w:b w:val="false"/>
          <w:bCs w:val="false"/>
          <w:color w:val="1F1F1F"/>
        </w:rPr>
        <w:t>से अप्रैल</w:t>
      </w:r>
      <w:r>
        <w:rPr>
          <w:rFonts w:eastAsia="DejaVu Sans" w:cs="times new roman" w:ascii="times new roman" w:hAnsi="times new roman"/>
          <w:b w:val="false"/>
          <w:bCs w:val="false"/>
          <w:color w:val="1F1F1F"/>
        </w:rPr>
        <w:t xml:space="preserve">, 2018 </w:t>
      </w:r>
      <w:r>
        <w:rPr>
          <w:rFonts w:ascii="times new roman" w:hAnsi="times new roman" w:eastAsia="DejaVu Sans" w:cs="times new roman"/>
          <w:b w:val="false"/>
          <w:b w:val="false"/>
          <w:bCs w:val="false"/>
          <w:color w:val="1F1F1F"/>
        </w:rPr>
        <w:t>तक की</w:t>
      </w:r>
      <w:r>
        <w:rPr>
          <w:rFonts w:eastAsia="DejaVu Sans" w:cs="times new roman" w:ascii="times new roman" w:hAnsi="times new roman"/>
          <w:b w:val="false"/>
          <w:bCs w:val="false"/>
          <w:color w:val="1F1F1F"/>
        </w:rPr>
        <w:t xml:space="preserve">) 6 </w:t>
      </w:r>
      <w:r>
        <w:rPr>
          <w:rFonts w:ascii="times new roman" w:hAnsi="times new roman" w:eastAsia="DejaVu Sans" w:cs="times new roman"/>
          <w:b w:val="false"/>
          <w:b w:val="false"/>
          <w:bCs w:val="false"/>
          <w:color w:val="1F1F1F"/>
        </w:rPr>
        <w:t>छवियों का विश्लेषण करें। कृपया एक विस्तृत रिपोर्ट प्रदान करें जिसमें निम्नलिखित शामिल हों</w:t>
      </w:r>
      <w:r>
        <w:rPr>
          <w:rFonts w:eastAsia="DejaVu Sans" w:cs="times new roman" w:ascii="times new roman" w:hAnsi="times new roman"/>
          <w:b w:val="false"/>
          <w:bCs w:val="false"/>
          <w:color w:val="1F1F1F"/>
        </w:rPr>
        <w:t>:</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फेनोलॉजिकल टाइमलाइन </w:t>
      </w:r>
      <w:r>
        <w:rPr>
          <w:rFonts w:eastAsia="DejaVu Sans" w:cs="times new roman" w:ascii="times new roman" w:hAnsi="times new roman"/>
          <w:b w:val="false"/>
          <w:bCs w:val="false"/>
          <w:color w:val="1F1F1F"/>
        </w:rPr>
        <w:t xml:space="preserve">(Phenological Timeline): </w:t>
      </w:r>
      <w:r>
        <w:rPr>
          <w:rFonts w:ascii="times new roman" w:hAnsi="times new roman" w:eastAsia="DejaVu Sans" w:cs="times new roman"/>
          <w:b w:val="false"/>
          <w:b w:val="false"/>
          <w:bCs w:val="false"/>
          <w:color w:val="1F1F1F"/>
        </w:rPr>
        <w:t xml:space="preserve">फसल विकास के मुख्य चरणों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जैसे टिलरिंग</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हेडिंग</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एंथेसिस</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परिपक्वता</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की पहचान करें और उन्हें इमेज</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 xml:space="preserve">वीडियो के समय </w:t>
      </w:r>
      <w:r>
        <w:rPr>
          <w:rFonts w:eastAsia="DejaVu Sans" w:cs="times new roman" w:ascii="times new roman" w:hAnsi="times new roman"/>
          <w:b w:val="false"/>
          <w:bCs w:val="false"/>
          <w:color w:val="1F1F1F"/>
        </w:rPr>
        <w:t xml:space="preserve">(timestamps) </w:t>
      </w:r>
      <w:r>
        <w:rPr>
          <w:rFonts w:ascii="times new roman" w:hAnsi="times new roman" w:eastAsia="DejaVu Sans" w:cs="times new roman"/>
          <w:b w:val="false"/>
          <w:b w:val="false"/>
          <w:bCs w:val="false"/>
          <w:color w:val="1F1F1F"/>
        </w:rPr>
        <w:t>से जोड़ें।</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थर्मल संचय </w:t>
      </w:r>
      <w:r>
        <w:rPr>
          <w:rFonts w:eastAsia="DejaVu Sans" w:cs="times new roman" w:ascii="times new roman" w:hAnsi="times new roman"/>
          <w:b w:val="false"/>
          <w:bCs w:val="false"/>
          <w:color w:val="1F1F1F"/>
        </w:rPr>
        <w:t xml:space="preserve">(Thermal Accumulation): [5°C] </w:t>
      </w:r>
      <w:r>
        <w:rPr>
          <w:rFonts w:ascii="times new roman" w:hAnsi="times new roman" w:eastAsia="DejaVu Sans" w:cs="times new roman"/>
          <w:b w:val="false"/>
          <w:b w:val="false"/>
          <w:bCs w:val="false"/>
          <w:color w:val="1F1F1F"/>
        </w:rPr>
        <w:t xml:space="preserve">के आधार तापमान का उपयोग करके अनुमानित संचयी ग्रोइंग डिग्री डेज़ </w:t>
      </w:r>
      <w:r>
        <w:rPr>
          <w:rFonts w:eastAsia="DejaVu Sans" w:cs="times new roman" w:ascii="times new roman" w:hAnsi="times new roman"/>
          <w:b w:val="false"/>
          <w:bCs w:val="false"/>
          <w:color w:val="1F1F1F"/>
        </w:rPr>
        <w:t xml:space="preserve">(GDD) </w:t>
      </w:r>
      <w:r>
        <w:rPr>
          <w:rFonts w:ascii="times new roman" w:hAnsi="times new roman" w:eastAsia="DejaVu Sans" w:cs="times new roman"/>
          <w:b w:val="false"/>
          <w:b w:val="false"/>
          <w:bCs w:val="false"/>
          <w:color w:val="1F1F1F"/>
        </w:rPr>
        <w:t>की गणना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विसंगति का पता लगाना </w:t>
      </w:r>
      <w:r>
        <w:rPr>
          <w:rFonts w:eastAsia="DejaVu Sans" w:cs="times new roman" w:ascii="times new roman" w:hAnsi="times new roman"/>
          <w:b w:val="false"/>
          <w:bCs w:val="false"/>
          <w:color w:val="1F1F1F"/>
        </w:rPr>
        <w:t xml:space="preserve">(Anomaly Detection): </w:t>
      </w:r>
      <w:r>
        <w:rPr>
          <w:rFonts w:ascii="times new roman" w:hAnsi="times new roman" w:eastAsia="DejaVu Sans" w:cs="times new roman"/>
          <w:b w:val="false"/>
          <w:b w:val="false"/>
          <w:bCs w:val="false"/>
          <w:color w:val="1F1F1F"/>
        </w:rPr>
        <w:t xml:space="preserve">किसी भी दृश्य तनाव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जैसे फसल का गिरना</w:t>
      </w:r>
      <w:r>
        <w:rPr>
          <w:rFonts w:eastAsia="DejaVu Sans" w:cs="times new roman" w:ascii="times new roman" w:hAnsi="times new roman"/>
          <w:b w:val="false"/>
          <w:bCs w:val="false"/>
          <w:color w:val="1F1F1F"/>
        </w:rPr>
        <w:t xml:space="preserve">/lodging, </w:t>
      </w:r>
      <w:r>
        <w:rPr>
          <w:rFonts w:ascii="times new roman" w:hAnsi="times new roman" w:eastAsia="DejaVu Sans" w:cs="times new roman"/>
          <w:b w:val="false"/>
          <w:b w:val="false"/>
          <w:bCs w:val="false"/>
          <w:color w:val="1F1F1F"/>
        </w:rPr>
        <w:t>क्लोरोसिस</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पानी की कमी</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या कीटों से नुकसान</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और उनके दिखने के सटीक समय की पहचान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उपज का पूर्वानुमान </w:t>
      </w:r>
      <w:r>
        <w:rPr>
          <w:rFonts w:eastAsia="DejaVu Sans" w:cs="times new roman" w:ascii="times new roman" w:hAnsi="times new roman"/>
          <w:b w:val="false"/>
          <w:bCs w:val="false"/>
          <w:color w:val="1F1F1F"/>
        </w:rPr>
        <w:t xml:space="preserve">(Yield Prediction): </w:t>
      </w:r>
      <w:r>
        <w:rPr>
          <w:rFonts w:ascii="times new roman" w:hAnsi="times new roman" w:eastAsia="DejaVu Sans" w:cs="times new roman"/>
          <w:b w:val="false"/>
          <w:b w:val="false"/>
          <w:bCs w:val="false"/>
          <w:color w:val="1F1F1F"/>
        </w:rPr>
        <w:t xml:space="preserve">इन निर्देशांकों के क्षेत्रीय मानकों </w:t>
      </w:r>
      <w:r>
        <w:rPr>
          <w:rFonts w:eastAsia="DejaVu Sans" w:cs="times new roman" w:ascii="times new roman" w:hAnsi="times new roman"/>
          <w:b w:val="false"/>
          <w:bCs w:val="false"/>
          <w:color w:val="1F1F1F"/>
        </w:rPr>
        <w:t xml:space="preserve">(benchmarks) </w:t>
      </w:r>
      <w:r>
        <w:rPr>
          <w:rFonts w:ascii="times new roman" w:hAnsi="times new roman" w:eastAsia="DejaVu Sans" w:cs="times new roman"/>
          <w:b w:val="false"/>
          <w:b w:val="false"/>
          <w:bCs w:val="false"/>
          <w:color w:val="1F1F1F"/>
        </w:rPr>
        <w:t xml:space="preserve">के आधार पर संभावित उपज </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टन</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हेक्टेयर</w:t>
      </w:r>
      <w:r>
        <w:rPr>
          <w:rFonts w:eastAsia="DejaVu Sans" w:cs="times new roman" w:ascii="times new roman" w:hAnsi="times new roman"/>
          <w:b w:val="false"/>
          <w:bCs w:val="false"/>
          <w:color w:val="1F1F1F"/>
        </w:rPr>
        <w:t xml:space="preserve">) </w:t>
      </w:r>
      <w:r>
        <w:rPr>
          <w:rFonts w:ascii="times new roman" w:hAnsi="times new roman" w:eastAsia="DejaVu Sans" w:cs="times new roman"/>
          <w:b w:val="false"/>
          <w:b w:val="false"/>
          <w:bCs w:val="false"/>
          <w:color w:val="1F1F1F"/>
        </w:rPr>
        <w:t>का अनुमान लगाएं और देखे गए तनावों के आधार पर इसमें सुधार</w:t>
      </w:r>
      <w:r>
        <w:rPr>
          <w:rFonts w:eastAsia="DejaVu Sans" w:cs="times new roman" w:ascii="times new roman" w:hAnsi="times new roman"/>
          <w:b w:val="false"/>
          <w:bCs w:val="false"/>
          <w:color w:val="1F1F1F"/>
        </w:rPr>
        <w:t>/</w:t>
      </w:r>
      <w:r>
        <w:rPr>
          <w:rFonts w:ascii="times new roman" w:hAnsi="times new roman" w:eastAsia="DejaVu Sans" w:cs="times new roman"/>
          <w:b w:val="false"/>
          <w:b w:val="false"/>
          <w:bCs w:val="false"/>
          <w:color w:val="1F1F1F"/>
        </w:rPr>
        <w:t>समायोजन करें।</w:t>
      </w:r>
    </w:p>
    <w:p>
      <w:pPr>
        <w:pStyle w:val="BodyText"/>
        <w:keepNext w:val="false"/>
        <w:pageBreakBefore w:val="false"/>
        <w:widowControl/>
        <w:numPr>
          <w:ilvl w:val="0"/>
          <w:numId w:val="0"/>
        </w:numPr>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कॉन्फिडेंस स्कोर </w:t>
      </w:r>
      <w:r>
        <w:rPr>
          <w:rFonts w:eastAsia="DejaVu Sans" w:cs="times new roman" w:ascii="times new roman" w:hAnsi="times new roman"/>
          <w:b w:val="false"/>
          <w:bCs w:val="false"/>
          <w:color w:val="1F1F1F"/>
        </w:rPr>
        <w:t xml:space="preserve">(Confidence Score): </w:t>
      </w:r>
      <w:r>
        <w:rPr>
          <w:rFonts w:ascii="times new roman" w:hAnsi="times new roman" w:eastAsia="DejaVu Sans" w:cs="times new roman"/>
          <w:b w:val="false"/>
          <w:b w:val="false"/>
          <w:bCs w:val="false"/>
          <w:color w:val="1F1F1F"/>
        </w:rPr>
        <w:t xml:space="preserve">दृश्य स्पष्टता और उपलब्ध पर्यावरणीय डेटा के आधार पर विश्लेषण को </w:t>
      </w:r>
      <w:r>
        <w:rPr>
          <w:rFonts w:eastAsia="DejaVu Sans" w:cs="times new roman" w:ascii="times new roman" w:hAnsi="times new roman"/>
          <w:b w:val="false"/>
          <w:bCs w:val="false"/>
          <w:color w:val="1F1F1F"/>
        </w:rPr>
        <w:t xml:space="preserve">1-100 </w:t>
      </w:r>
      <w:r>
        <w:rPr>
          <w:rFonts w:ascii="times new roman" w:hAnsi="times new roman" w:eastAsia="DejaVu Sans" w:cs="times new roman"/>
          <w:b w:val="false"/>
          <w:b w:val="false"/>
          <w:bCs w:val="false"/>
          <w:color w:val="1F1F1F"/>
        </w:rPr>
        <w:t>के बीच रेटिंग दें।</w:t>
      </w:r>
    </w:p>
    <w:p>
      <w:pPr>
        <w:pStyle w:val="BodyText"/>
        <w:keepNext w:val="false"/>
        <w:widowControl/>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ascii="times new roman" w:hAnsi="times new roman" w:eastAsia="DejaVu Sans" w:cs="times new roman"/>
          <w:b w:val="false"/>
          <w:b w:val="false"/>
          <w:bCs w:val="false"/>
          <w:color w:val="1F1F1F"/>
        </w:rPr>
        <w:t xml:space="preserve">अंतिम डेटा को एक संरचित तालिका </w:t>
      </w:r>
      <w:r>
        <w:rPr>
          <w:rFonts w:eastAsia="DejaVu Sans" w:cs="times new roman" w:ascii="times new roman" w:hAnsi="times new roman"/>
          <w:b w:val="false"/>
          <w:bCs w:val="false"/>
          <w:color w:val="1F1F1F"/>
        </w:rPr>
        <w:t xml:space="preserve">(structured table) </w:t>
      </w:r>
      <w:r>
        <w:rPr>
          <w:rFonts w:ascii="times new roman" w:hAnsi="times new roman" w:eastAsia="DejaVu Sans" w:cs="times new roman"/>
          <w:b w:val="false"/>
          <w:b w:val="false"/>
          <w:bCs w:val="false"/>
          <w:color w:val="1F1F1F"/>
        </w:rPr>
        <w:t>में प्रस्तुत करें और सीजन के प्रदर्शन का एक संक्षिप्त सारांश प्रदान करें।</w:t>
      </w:r>
      <w:r>
        <w:rPr>
          <w:rFonts w:eastAsia="DejaVu Sans" w:cs="times new roman" w:ascii="times new roman" w:hAnsi="times new roman"/>
          <w:b w:val="false"/>
          <w:bCs w:val="false"/>
          <w:color w:val="1F1F1F"/>
        </w:rPr>
        <w:t>"</w:t>
      </w:r>
    </w:p>
    <w:p>
      <w:pPr>
        <w:pStyle w:val="BodyText"/>
        <w:widowControl/>
        <w:suppressAutoHyphens w:val="true"/>
        <w:spacing w:lineRule="auto" w:line="274" w:before="0" w:after="0"/>
        <w:ind w:hanging="0" w:left="0" w:right="0"/>
        <w:rPr>
          <w:rFonts w:ascii="times new roman" w:hAnsi="times new roman" w:eastAsia="DejaVu Sans" w:cs="times new roman"/>
          <w:b w:val="false"/>
          <w:bCs w:val="false"/>
          <w:color w:val="1F1F1F"/>
        </w:rPr>
      </w:pPr>
      <w:r>
        <w:rPr>
          <w:rFonts w:eastAsia="DejaVu Sans" w:cs="times new roman" w:ascii="times new roman" w:hAnsi="times new roman"/>
          <w:b w:val="false"/>
          <w:bCs w:val="false"/>
          <w:color w:val="1F1F1F"/>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Similar prompts in all the major Indian languages are supported in Gemini App.</w:t>
      </w:r>
    </w:p>
    <w:p>
      <w:pPr>
        <w:pStyle w:val="DefaultDrawingStyle"/>
        <w:spacing w:lineRule="auto" w:line="216" w:before="238" w:after="198"/>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3.3 Step 3</w:t>
      </w:r>
    </w:p>
    <w:p>
      <w:pPr>
        <w:pStyle w:val="DefaultDrawingStyle"/>
        <w:spacing w:lineRule="auto" w:line="216" w:before="238" w:after="198"/>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Responses : Gemini provide a structured, tabular response covering crop type, growth stage, and health status, estimated yield (voice/text) and confidence score as shown below.</w:t>
      </w:r>
    </w:p>
    <w:p>
      <w:pPr>
        <w:pStyle w:val="Normal"/>
        <w:spacing w:lineRule="atLeast" w:line="200"/>
        <w:ind w:hanging="0" w:left="0" w:right="0"/>
        <w:jc w:val="left"/>
        <w:rPr>
          <w:rFonts w:ascii="times new roman" w:hAnsi="times new roman" w:cs="times new roman"/>
          <w:b w:val="false"/>
          <w:bCs w:val="false"/>
          <w:color w:val="000000"/>
          <w:spacing w:val="0"/>
          <w:sz w:val="24"/>
          <w:szCs w:val="24"/>
        </w:rPr>
      </w:pPr>
      <w:r>
        <w:rPr>
          <w:rFonts w:cs="times new roman" w:ascii="times new roman" w:hAnsi="times new roman"/>
          <w:b w:val="false"/>
          <w:bCs w:val="false"/>
          <w:color w:val="000000"/>
          <w:spacing w:val="0"/>
          <w:sz w:val="24"/>
          <w:szCs w:val="24"/>
        </w:rPr>
        <w:t xml:space="preserve">English (Table </w:t>
      </w:r>
      <w:r>
        <w:rPr>
          <w:rFonts w:cs="times new roman" w:ascii="times new roman" w:hAnsi="times new roman"/>
          <w:b w:val="false"/>
          <w:bCs w:val="false"/>
          <w:color w:val="000000"/>
          <w:spacing w:val="0"/>
          <w:sz w:val="24"/>
          <w:szCs w:val="24"/>
        </w:rPr>
        <w:t>3</w:t>
      </w:r>
      <w:r>
        <w:rPr>
          <w:rFonts w:cs="times new roman" w:ascii="times new roman" w:hAnsi="times new roman"/>
          <w:b w:val="false"/>
          <w:bCs w:val="false"/>
          <w:color w:val="000000"/>
          <w:spacing w:val="0"/>
          <w:sz w:val="24"/>
          <w:szCs w:val="24"/>
        </w:rPr>
        <w:t>)</w:t>
      </w:r>
    </w:p>
    <w:p>
      <w:pPr>
        <w:pStyle w:val="Normal"/>
        <w:spacing w:lineRule="atLeast" w:line="200"/>
        <w:ind w:hanging="0" w:left="0" w:right="0"/>
        <w:jc w:val="left"/>
        <w:rPr>
          <w:rFonts w:ascii="times new roman" w:hAnsi="times new roman" w:cs="times new roman"/>
          <w:b w:val="false"/>
          <w:bCs w:val="false"/>
          <w:color w:val="000000"/>
          <w:spacing w:val="0"/>
          <w:sz w:val="24"/>
          <w:szCs w:val="24"/>
        </w:rPr>
      </w:pPr>
      <w:r>
        <w:rPr>
          <w:rFonts w:cs="times new roman" w:ascii="times new roman" w:hAnsi="times new roman"/>
          <w:b w:val="false"/>
          <w:bCs w:val="false"/>
          <w:color w:val="000000"/>
          <w:spacing w:val="0"/>
          <w:sz w:val="24"/>
          <w:szCs w:val="24"/>
        </w:rPr>
      </w:r>
    </w:p>
    <w:p>
      <w:pPr>
        <w:pStyle w:val="Normal"/>
        <w:rPr>
          <w:rFonts w:ascii="times new roman" w:hAnsi="times new roman" w:cs="times new roman"/>
          <w:b w:val="false"/>
          <w:bCs w:val="false"/>
        </w:rPr>
      </w:pPr>
      <w:r>
        <w:rPr>
          <w:rFonts w:cs="times new roman" w:ascii="times new roman" w:hAnsi="times new roman"/>
          <w:b w:val="false"/>
          <w:bCs w:val="false"/>
        </w:rPr>
        <w:t>Based on the analysis of the 5 images for the coordinates near Pundrak, Karnal [29.76412,76.8340754], here is the comprehensive report for the WH 1142 variety during the 2017-18 season.</w:t>
      </w:r>
    </w:p>
    <w:p>
      <w:pPr>
        <w:pStyle w:val="Normal"/>
        <w:rPr>
          <w:rFonts w:ascii="times new roman" w:hAnsi="times new roman" w:cs="times new roman"/>
          <w:b w:val="false"/>
          <w:bCs w:val="false"/>
        </w:rPr>
      </w:pPr>
      <w:r>
        <w:rPr>
          <w:rFonts w:cs="times new roman" w:ascii="times new roman" w:hAnsi="times new roman"/>
          <w:b w:val="false"/>
          <w:bCs w:val="false"/>
        </w:rPr>
      </w:r>
    </w:p>
    <w:p>
      <w:pPr>
        <w:pStyle w:val="Normal"/>
        <w:jc w:val="center"/>
        <w:rPr>
          <w:rFonts w:ascii="times new roman" w:hAnsi="times new roman" w:cs="times new roman"/>
          <w:b w:val="false"/>
          <w:bCs w:val="false"/>
        </w:rPr>
      </w:pPr>
      <w:r>
        <w:rPr>
          <w:rFonts w:cs="times new roman" w:ascii="times new roman" w:hAnsi="times new roman"/>
          <w:b w:val="false"/>
          <w:bCs w:val="fals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6314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6120130" cy="2631440"/>
                    </a:xfrm>
                    <a:prstGeom prst="rect">
                      <a:avLst/>
                    </a:prstGeom>
                    <a:noFill/>
                  </pic:spPr>
                </pic:pic>
              </a:graphicData>
            </a:graphic>
          </wp:anchor>
        </w:drawing>
      </w:r>
    </w:p>
    <w:p>
      <w:pPr>
        <w:pStyle w:val="Normal"/>
        <w:jc w:val="center"/>
        <w:rPr/>
      </w:pPr>
      <w:r>
        <w:rPr/>
        <w:t xml:space="preserve">Table </w:t>
      </w:r>
      <w:r>
        <w:rPr/>
        <w:t>3</w:t>
      </w:r>
      <w:r>
        <w:rPr/>
        <w:t>. Response in English</w:t>
      </w:r>
    </w:p>
    <w:p>
      <w:pPr>
        <w:pStyle w:val="Normal"/>
        <w:jc w:val="center"/>
        <w:rPr/>
      </w:pPr>
      <w:r>
        <w:rPr/>
      </w:r>
    </w:p>
    <w:p>
      <w:pPr>
        <w:pStyle w:val="Normal"/>
        <w:jc w:val="center"/>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tLeast" w:line="200"/>
        <w:ind w:hanging="0" w:left="0" w:right="0"/>
        <w:jc w:val="left"/>
        <w:rPr>
          <w:b w:val="false"/>
          <w:bCs w:val="false"/>
          <w:color w:val="000000"/>
          <w:spacing w:val="0"/>
          <w:sz w:val="24"/>
          <w:szCs w:val="24"/>
        </w:rPr>
      </w:pPr>
      <w:r>
        <w:rPr>
          <w:b w:val="false"/>
          <w:bCs w:val="false"/>
          <w:color w:val="000000"/>
          <w:spacing w:val="0"/>
          <w:sz w:val="24"/>
          <w:szCs w:val="24"/>
        </w:rPr>
        <w:t xml:space="preserve">Hindi (Table </w:t>
      </w:r>
      <w:r>
        <w:rPr>
          <w:b w:val="false"/>
          <w:bCs w:val="false"/>
          <w:color w:val="000000"/>
          <w:spacing w:val="0"/>
          <w:sz w:val="24"/>
          <w:szCs w:val="24"/>
        </w:rPr>
        <w:t>4</w:t>
      </w:r>
      <w:r>
        <w:rPr>
          <w:b w:val="false"/>
          <w:bCs w:val="false"/>
          <w:color w:val="000000"/>
          <w:spacing w:val="0"/>
          <w:sz w:val="24"/>
          <w:szCs w:val="24"/>
        </w:rPr>
        <w:t>)</w:t>
      </w:r>
    </w:p>
    <w:p>
      <w:pPr>
        <w:pStyle w:val="Normal"/>
        <w:spacing w:lineRule="atLeast" w:line="200"/>
        <w:ind w:hanging="0" w:left="0" w:right="0"/>
        <w:jc w:val="left"/>
        <w:rPr>
          <w:b w:val="false"/>
          <w:bCs w:val="false"/>
          <w:color w:val="000000"/>
          <w:spacing w:val="0"/>
          <w:sz w:val="24"/>
          <w:szCs w:val="24"/>
        </w:rPr>
      </w:pPr>
      <w:r>
        <w:rPr>
          <w:b w:val="false"/>
          <w:bCs w:val="false"/>
          <w:color w:val="000000"/>
          <w:spacing w:val="0"/>
          <w:sz w:val="24"/>
          <w:szCs w:val="24"/>
        </w:rPr>
      </w:r>
    </w:p>
    <w:p>
      <w:pPr>
        <w:pStyle w:val="Normal"/>
        <w:spacing w:lineRule="atLeast" w:line="200"/>
        <w:ind w:hanging="0" w:left="0" w:right="0"/>
        <w:jc w:val="center"/>
        <w:rPr>
          <w:b w:val="false"/>
          <w:bCs w:val="false"/>
          <w:color w:val="000000"/>
          <w:spacing w:val="0"/>
          <w:sz w:val="24"/>
          <w:szCs w:val="24"/>
        </w:rPr>
      </w:pPr>
      <w:r>
        <w:rPr>
          <w:b w:val="false"/>
          <w:bCs w:val="false"/>
          <w:color w:val="000000"/>
          <w:spacing w:val="0"/>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259080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8"/>
                    <a:stretch>
                      <a:fillRect/>
                    </a:stretch>
                  </pic:blipFill>
                  <pic:spPr bwMode="auto">
                    <a:xfrm>
                      <a:off x="0" y="0"/>
                      <a:ext cx="6120130" cy="2590800"/>
                    </a:xfrm>
                    <a:prstGeom prst="rect">
                      <a:avLst/>
                    </a:prstGeom>
                    <a:noFill/>
                  </pic:spPr>
                </pic:pic>
              </a:graphicData>
            </a:graphic>
          </wp:anchor>
        </w:drawing>
      </w:r>
    </w:p>
    <w:p>
      <w:pPr>
        <w:pStyle w:val="Normal"/>
        <w:jc w:val="center"/>
        <w:rPr/>
      </w:pPr>
      <w:r>
        <w:rPr/>
        <w:t xml:space="preserve">Table </w:t>
      </w:r>
      <w:r>
        <w:rPr/>
        <w:t>4</w:t>
      </w:r>
      <w:r>
        <w:rPr/>
        <w:t>. Response in Hindi</w:t>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DefaultDrawingStyle"/>
        <w:spacing w:lineRule="atLeast" w:line="200"/>
        <w:ind w:hanging="0" w:left="0" w:right="0"/>
        <w:jc w:val="left"/>
        <w:rPr>
          <w:rFonts w:ascii="times new roman" w:hAnsi="times new roman" w:cs="times new roman"/>
          <w:b w:val="false"/>
          <w:bCs w:val="false"/>
          <w:sz w:val="24"/>
          <w:szCs w:val="24"/>
        </w:rPr>
      </w:pPr>
      <w:r>
        <w:rPr>
          <w:rFonts w:cs="times new roman" w:ascii="times new roman" w:hAnsi="times new roman"/>
          <w:b w:val="false"/>
          <w:bCs w:val="false"/>
          <w:color w:val="000000"/>
          <w:spacing w:val="0"/>
          <w:sz w:val="24"/>
          <w:szCs w:val="24"/>
        </w:rPr>
        <w:t>Similar responses in all the major Indian languages are supported in Gemini App.</w:t>
      </w:r>
    </w:p>
    <w:p>
      <w:pPr>
        <w:pStyle w:val="Normal"/>
        <w:jc w:val="left"/>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val="false"/>
          <w:bCs w:val="false"/>
          <w:i w:val="false"/>
          <w:caps w:val="false"/>
          <w:smallCaps w:val="false"/>
          <w:color w:val="0F1115"/>
          <w:spacing w:val="0"/>
          <w:sz w:val="24"/>
          <w:szCs w:val="24"/>
        </w:rPr>
        <w:t>3.4 Step 4</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Evidence (The Action): Responses may be saved as a text/voice auditable record and shared with various agencies for insurance claims, climate-risk assessments, or local village planning.</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bCs w:val="false"/>
          <w:i w:val="false"/>
          <w:caps w:val="false"/>
          <w:smallCaps w:val="false"/>
          <w:color w:val="1F1F1F"/>
          <w:spacing w:val="0"/>
          <w:sz w:val="24"/>
          <w:szCs w:val="24"/>
        </w:rPr>
        <w:t>4. Mobile Digital AI setup</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val="false"/>
          <w:bCs w:val="false"/>
          <w:i w:val="false"/>
          <w:caps w:val="false"/>
          <w:smallCaps w:val="false"/>
          <w:color w:val="1F1F1F"/>
          <w:spacing w:val="0"/>
          <w:sz w:val="24"/>
          <w:szCs w:val="24"/>
        </w:rPr>
      </w:pPr>
      <w:r>
        <w:rPr>
          <w:rFonts w:cs="Times New Roman" w:ascii="times new roman" w:hAnsi="times new roman"/>
          <w:b w:val="false"/>
          <w:bCs w:val="false"/>
          <w:i w:val="false"/>
          <w:caps w:val="false"/>
          <w:smallCaps w:val="false"/>
          <w:color w:val="1F1F1F"/>
          <w:spacing w:val="0"/>
          <w:sz w:val="24"/>
          <w:szCs w:val="24"/>
        </w:rPr>
        <w:t>As a ready reference the details of the set up of an android smartphone for using crop image for using Gemini AI model is given at Annexure-I.</w:t>
      </w:r>
    </w:p>
    <w:p>
      <w:pPr>
        <w:pStyle w:val="BodyText"/>
        <w:ind w:hanging="0" w:left="0" w:right="0"/>
        <w:jc w:val="both"/>
        <w:rPr>
          <w:rFonts w:ascii="times new roman" w:hAnsi="times new roman"/>
          <w:color w:val="1F1F1F"/>
        </w:rPr>
      </w:pPr>
      <w:r>
        <w:rPr>
          <w:rFonts w:ascii="times new roman" w:hAnsi="times new roman"/>
          <w:color w:val="1F1F1F"/>
        </w:rPr>
      </w:r>
    </w:p>
    <w:p>
      <w:pPr>
        <w:pStyle w:val="BodyText"/>
        <w:ind w:hanging="0" w:left="0" w:right="0"/>
        <w:jc w:val="both"/>
        <w:rPr>
          <w:rFonts w:ascii="times new roman" w:hAnsi="times new roman"/>
          <w:color w:val="1F1F1F"/>
        </w:rPr>
      </w:pPr>
      <w:r>
        <w:rPr>
          <w:rFonts w:ascii="times new roman" w:hAnsi="times new roman"/>
          <w:color w:val="1F1F1F"/>
        </w:rPr>
      </w:r>
    </w:p>
    <w:p>
      <w:pPr>
        <w:pStyle w:val="BodyText"/>
        <w:ind w:hanging="0" w:left="0" w:right="0"/>
        <w:jc w:val="both"/>
        <w:rPr>
          <w:rFonts w:ascii="times new roman" w:hAnsi="times new roman"/>
          <w:b w:val="false"/>
          <w:bCs w:val="false"/>
        </w:rPr>
      </w:pPr>
      <w:r>
        <w:rPr>
          <w:rFonts w:ascii="times new roman" w:hAnsi="times new roman"/>
          <w:b w:val="false"/>
          <w:bCs w:val="false"/>
          <w:color w:val="1F1F1F"/>
        </w:rPr>
        <w:t xml:space="preserve">5. </w:t>
      </w:r>
      <w:r>
        <w:rPr>
          <w:rFonts w:ascii="times new roman" w:hAnsi="times new roman"/>
          <w:b w:val="false"/>
          <w:bCs w:val="false"/>
          <w:color w:val="333333"/>
          <w:sz w:val="24"/>
          <w:szCs w:val="24"/>
          <w:lang w:val="en-IN"/>
        </w:rPr>
        <w:t>Data and Methodology of Pre-processing and Processing</w:t>
      </w:r>
    </w:p>
    <w:p>
      <w:pPr>
        <w:pStyle w:val="BodyText"/>
        <w:ind w:hanging="0" w:left="0" w:right="0"/>
        <w:jc w:val="both"/>
        <w:rPr>
          <w:rFonts w:ascii="times new roman" w:hAnsi="times new roman"/>
          <w:b w:val="false"/>
          <w:bCs w:val="false"/>
        </w:rPr>
      </w:pPr>
      <w:r>
        <w:rPr>
          <w:rFonts w:ascii="times new roman" w:hAnsi="times new roman"/>
          <w:b w:val="false"/>
          <w:bCs w:val="false"/>
        </w:rPr>
        <w:t xml:space="preserve">Figure </w:t>
      </w:r>
      <w:r>
        <w:rPr>
          <w:rFonts w:ascii="times new roman" w:hAnsi="times new roman"/>
          <w:b w:val="false"/>
          <w:bCs w:val="false"/>
        </w:rPr>
        <w:t xml:space="preserve">3 </w:t>
      </w:r>
      <w:r>
        <w:rPr>
          <w:rFonts w:ascii="times new roman" w:hAnsi="times new roman"/>
          <w:b w:val="false"/>
          <w:bCs w:val="false"/>
        </w:rPr>
        <w:t>below describes the methodology for the data ingestion, pre-processing, and multi-modal analysis pipeline used to transform raw field imagery into structured agricultural insights.</w:t>
      </w:r>
    </w:p>
    <w:p>
      <w:pPr>
        <w:pStyle w:val="BodyText"/>
        <w:ind w:hanging="0" w:left="0" w:right="0"/>
        <w:jc w:val="center"/>
        <w:rPr>
          <w:rFonts w:ascii="times new roman" w:hAnsi="times new roman"/>
          <w:b w:val="false"/>
          <w:bCs w:val="false"/>
        </w:rPr>
      </w:pPr>
      <w:r>
        <w:rPr>
          <w:rFonts w:ascii="times new roman" w:hAnsi="times new roman"/>
          <w:b w:val="false"/>
          <w:bCs w:val="fals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9"/>
                    <a:stretch>
                      <a:fillRect/>
                    </a:stretch>
                  </pic:blipFill>
                  <pic:spPr bwMode="auto">
                    <a:xfrm>
                      <a:off x="0" y="0"/>
                      <a:ext cx="6120130" cy="3415665"/>
                    </a:xfrm>
                    <a:prstGeom prst="rect">
                      <a:avLst/>
                    </a:prstGeom>
                    <a:noFill/>
                  </pic:spPr>
                </pic:pic>
              </a:graphicData>
            </a:graphic>
          </wp:anchor>
        </w:drawing>
      </w:r>
    </w:p>
    <w:p>
      <w:pPr>
        <w:pStyle w:val="Heading3"/>
        <w:widowControl/>
        <w:numPr>
          <w:ilvl w:val="2"/>
          <w:numId w:val="1"/>
        </w:numPr>
        <w:spacing w:lineRule="auto" w:line="274" w:before="0" w:after="140"/>
        <w:ind w:hanging="0" w:left="0" w:right="0"/>
        <w:jc w:val="center"/>
        <w:rPr>
          <w:rFonts w:ascii="times new roman" w:hAnsi="times new roman"/>
          <w:b w:val="false"/>
          <w:bCs w:val="false"/>
        </w:rPr>
      </w:pPr>
      <w:r>
        <w:rPr>
          <w:rFonts w:ascii="times new roman" w:hAnsi="times new roman"/>
          <w:b w:val="false"/>
          <w:bCs w:val="false"/>
        </w:rPr>
        <w:t>Figure 3. Data Flow</w:t>
      </w:r>
    </w:p>
    <w:p>
      <w:pPr>
        <w:pStyle w:val="Heading3"/>
        <w:widowControl/>
        <w:numPr>
          <w:ilvl w:val="2"/>
          <w:numId w:val="1"/>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5.1. Data Sources and Structure</w:t>
      </w:r>
    </w:p>
    <w:p>
      <w:pPr>
        <w:pStyle w:val="BodyText"/>
        <w:spacing w:lineRule="auto" w:line="274" w:before="0" w:after="140"/>
        <w:ind w:hanging="0" w:left="0" w:right="0"/>
        <w:jc w:val="both"/>
        <w:rPr/>
      </w:pPr>
      <w:bookmarkStart w:id="1" w:name="p-rc_64a8c6b88ba4c609-87"/>
      <w:bookmarkEnd w:id="1"/>
      <w:r>
        <w:rPr>
          <w:rFonts w:ascii="times new roman" w:hAnsi="times new roman"/>
          <w:b w:val="false"/>
          <w:bCs w:val="false"/>
        </w:rPr>
        <w:t xml:space="preserve">The primary input for this framework is a structured metadata file, </w:t>
      </w:r>
      <w:r>
        <w:rPr>
          <w:rStyle w:val="SourceText"/>
          <w:rFonts w:ascii="times new roman" w:hAnsi="times new roman"/>
          <w:b w:val="false"/>
          <w:bCs w:val="false"/>
        </w:rPr>
        <w:t>input_data_and_meta_data.json</w:t>
      </w:r>
      <w:r>
        <w:rPr>
          <w:rFonts w:ascii="times new roman" w:hAnsi="times new roman"/>
          <w:b w:val="false"/>
          <w:bCs w:val="false"/>
        </w:rPr>
        <w:t xml:space="preserve">, which organizes field-level data into a sequence-based format. Each record in the dataset corresponds to a unique "farmer plot" and contains the following key components: </w:t>
      </w:r>
    </w:p>
    <w:p>
      <w:pPr>
        <w:pStyle w:val="BodyText"/>
        <w:numPr>
          <w:ilvl w:val="0"/>
          <w:numId w:val="2"/>
        </w:numPr>
        <w:tabs>
          <w:tab w:val="clear" w:pos="11340"/>
          <w:tab w:val="left" w:pos="0" w:leader="none"/>
        </w:tabs>
        <w:spacing w:lineRule="auto" w:line="274" w:before="0" w:after="140"/>
        <w:ind w:hanging="283" w:left="709" w:right="0"/>
        <w:jc w:val="both"/>
        <w:rPr/>
      </w:pPr>
      <w:bookmarkStart w:id="2" w:name="p-rc_64a8c6b88ba4c609-88"/>
      <w:bookmarkEnd w:id="2"/>
      <w:r>
        <w:rPr>
          <w:rFonts w:ascii="times new roman" w:hAnsi="times new roman"/>
          <w:b w:val="false"/>
          <w:bCs w:val="false"/>
        </w:rPr>
        <w:t>Temporal Image Sequences: A list of file paths (</w:t>
      </w:r>
      <w:r>
        <w:rPr>
          <w:rStyle w:val="SourceText"/>
          <w:rFonts w:ascii="times new roman" w:hAnsi="times new roman"/>
          <w:b w:val="false"/>
          <w:bCs w:val="false"/>
        </w:rPr>
        <w:t>image_path</w:t>
      </w:r>
      <w:r>
        <w:rPr>
          <w:rFonts w:ascii="times new roman" w:hAnsi="times new roman"/>
          <w:b w:val="false"/>
          <w:bCs w:val="false"/>
        </w:rPr>
        <w:t xml:space="preserve">) pointing to high-resolution crop images captured throughout the growing season. </w:t>
      </w:r>
    </w:p>
    <w:p>
      <w:pPr>
        <w:pStyle w:val="BodyText"/>
        <w:numPr>
          <w:ilvl w:val="0"/>
          <w:numId w:val="2"/>
        </w:numPr>
        <w:tabs>
          <w:tab w:val="clear" w:pos="11340"/>
          <w:tab w:val="left" w:pos="0" w:leader="none"/>
        </w:tabs>
        <w:spacing w:lineRule="auto" w:line="274" w:before="0" w:after="140"/>
        <w:ind w:hanging="283" w:left="709" w:right="0"/>
        <w:jc w:val="both"/>
        <w:rPr/>
      </w:pPr>
      <w:bookmarkStart w:id="3" w:name="p-rc_64a8c6b88ba4c609-89"/>
      <w:bookmarkEnd w:id="3"/>
      <w:r>
        <w:rPr>
          <w:rFonts w:ascii="times new roman" w:hAnsi="times new roman"/>
          <w:b w:val="false"/>
          <w:bCs w:val="false"/>
        </w:rPr>
        <w:t>Geospatial Metadata: GPS coordinates (</w:t>
      </w:r>
      <w:r>
        <w:rPr>
          <w:rStyle w:val="SourceText"/>
          <w:rFonts w:ascii="times new roman" w:hAnsi="times new roman"/>
          <w:b w:val="false"/>
          <w:bCs w:val="false"/>
        </w:rPr>
        <w:t>location</w:t>
      </w:r>
      <w:r>
        <w:rPr>
          <w:rFonts w:ascii="times new roman" w:hAnsi="times new roman"/>
          <w:b w:val="false"/>
          <w:bCs w:val="false"/>
        </w:rPr>
        <w:t xml:space="preserve">) for each plot. </w:t>
      </w:r>
    </w:p>
    <w:p>
      <w:pPr>
        <w:pStyle w:val="BodyText"/>
        <w:numPr>
          <w:ilvl w:val="0"/>
          <w:numId w:val="2"/>
        </w:numPr>
        <w:tabs>
          <w:tab w:val="clear" w:pos="11340"/>
          <w:tab w:val="left" w:pos="0" w:leader="none"/>
        </w:tabs>
        <w:spacing w:lineRule="auto" w:line="274" w:before="0" w:after="140"/>
        <w:ind w:hanging="283" w:left="709" w:right="0"/>
        <w:jc w:val="both"/>
        <w:rPr/>
      </w:pPr>
      <w:bookmarkStart w:id="4" w:name="p-rc_64a8c6b88ba4c609-90"/>
      <w:bookmarkEnd w:id="4"/>
      <w:r>
        <w:rPr>
          <w:rFonts w:ascii="times new roman" w:hAnsi="times new roman"/>
          <w:b w:val="false"/>
          <w:bCs w:val="false"/>
        </w:rPr>
        <w:t>Agricultural Context: Specific crop variety information (</w:t>
      </w:r>
      <w:r>
        <w:rPr>
          <w:rStyle w:val="SourceText"/>
          <w:rFonts w:ascii="times new roman" w:hAnsi="times new roman"/>
          <w:b w:val="false"/>
          <w:bCs w:val="false"/>
        </w:rPr>
        <w:t>sowedseed</w:t>
      </w:r>
      <w:r>
        <w:rPr>
          <w:rFonts w:ascii="times new roman" w:hAnsi="times new roman"/>
          <w:b w:val="false"/>
          <w:bCs w:val="false"/>
        </w:rPr>
        <w:t xml:space="preserve">) and regional identifiers such as </w:t>
      </w:r>
      <w:r>
        <w:rPr>
          <w:rStyle w:val="SourceText"/>
          <w:rFonts w:ascii="times new roman" w:hAnsi="times new roman"/>
          <w:b w:val="false"/>
          <w:bCs w:val="false"/>
        </w:rPr>
        <w:t>Village</w:t>
      </w:r>
      <w:r>
        <w:rPr>
          <w:rFonts w:ascii="times new roman" w:hAnsi="times new roman"/>
          <w:b w:val="false"/>
          <w:bCs w:val="false"/>
        </w:rPr>
        <w:t xml:space="preserve"> and </w:t>
      </w:r>
      <w:r>
        <w:rPr>
          <w:rStyle w:val="SourceText"/>
          <w:rFonts w:ascii="times new roman" w:hAnsi="times new roman"/>
          <w:b w:val="false"/>
          <w:bCs w:val="false"/>
        </w:rPr>
        <w:t>District</w:t>
      </w:r>
      <w:r>
        <w:rPr>
          <w:rFonts w:ascii="times new roman" w:hAnsi="times new roman"/>
          <w:b w:val="false"/>
          <w:bCs w:val="false"/>
        </w:rPr>
        <w:t xml:space="preserve">.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5.2. Pre-processing and Data Preparation</w:t>
      </w:r>
    </w:p>
    <w:p>
      <w:pPr>
        <w:pStyle w:val="BodyText"/>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The pre-processing stage ensures that the data is correctly formatted and validated before analysis:</w:t>
      </w:r>
    </w:p>
    <w:p>
      <w:pPr>
        <w:pStyle w:val="BodyText"/>
        <w:numPr>
          <w:ilvl w:val="0"/>
          <w:numId w:val="3"/>
        </w:numPr>
        <w:tabs>
          <w:tab w:val="clear" w:pos="11340"/>
          <w:tab w:val="left" w:pos="0" w:leader="none"/>
        </w:tabs>
        <w:spacing w:lineRule="auto" w:line="274" w:before="0" w:after="140"/>
        <w:ind w:hanging="283" w:left="709" w:right="0"/>
        <w:jc w:val="both"/>
        <w:rPr/>
      </w:pPr>
      <w:bookmarkStart w:id="5" w:name="p-rc_64a8c6b88ba4c609-91"/>
      <w:bookmarkEnd w:id="5"/>
      <w:r>
        <w:rPr>
          <w:rFonts w:ascii="times new roman" w:hAnsi="times new roman"/>
          <w:b w:val="false"/>
          <w:bCs w:val="false"/>
        </w:rPr>
        <w:t xml:space="preserve">Data Ingestion: The </w:t>
      </w:r>
      <w:r>
        <w:rPr>
          <w:rStyle w:val="SourceText"/>
          <w:rFonts w:ascii="times new roman" w:hAnsi="times new roman"/>
          <w:b w:val="false"/>
          <w:bCs w:val="false"/>
        </w:rPr>
        <w:t>polars</w:t>
      </w:r>
      <w:r>
        <w:rPr>
          <w:rFonts w:ascii="times new roman" w:hAnsi="times new roman"/>
          <w:b w:val="false"/>
          <w:bCs w:val="false"/>
        </w:rPr>
        <w:t xml:space="preserve"> library is utilized for high-performance reading and manipulation of the JSON input. </w:t>
      </w:r>
    </w:p>
    <w:p>
      <w:pPr>
        <w:pStyle w:val="BodyText"/>
        <w:numPr>
          <w:ilvl w:val="0"/>
          <w:numId w:val="3"/>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6" w:name="p-rc_64a8c6b88ba4c609-92"/>
      <w:bookmarkEnd w:id="6"/>
      <w:r>
        <w:rPr>
          <w:rFonts w:ascii="times new roman" w:hAnsi="times new roman"/>
          <w:b w:val="false"/>
          <w:bCs w:val="false"/>
        </w:rPr>
        <w:t xml:space="preserve">Batch Configuration: Raw records are mapped into a standardized plot configuration, linking the confirmed crop variety with its corresponding spatial and visual data. </w:t>
      </w:r>
    </w:p>
    <w:p>
      <w:pPr>
        <w:pStyle w:val="BodyText"/>
        <w:numPr>
          <w:ilvl w:val="0"/>
          <w:numId w:val="3"/>
        </w:numPr>
        <w:tabs>
          <w:tab w:val="clear" w:pos="11340"/>
          <w:tab w:val="left" w:pos="0" w:leader="none"/>
        </w:tabs>
        <w:spacing w:lineRule="auto" w:line="274" w:before="0" w:after="140"/>
        <w:ind w:hanging="283" w:left="709" w:right="0"/>
        <w:jc w:val="both"/>
        <w:rPr/>
      </w:pPr>
      <w:bookmarkStart w:id="7" w:name="p-rc_64a8c6b88ba4c609-93"/>
      <w:bookmarkEnd w:id="7"/>
      <w:r>
        <w:rPr>
          <w:rFonts w:ascii="times new roman" w:hAnsi="times new roman"/>
          <w:b w:val="false"/>
          <w:bCs w:val="false"/>
        </w:rPr>
        <w:t xml:space="preserve">Temporal Ordering: Image paths are sorted to maintain chronological integrity during the analysis. A secondary validation layer is implemented via a Pydantic </w:t>
      </w:r>
      <w:r>
        <w:rPr>
          <w:rStyle w:val="SourceText"/>
          <w:rFonts w:ascii="times new roman" w:hAnsi="times new roman"/>
          <w:b w:val="false"/>
          <w:bCs w:val="false"/>
        </w:rPr>
        <w:t>model_validator</w:t>
      </w:r>
      <w:r>
        <w:rPr>
          <w:rFonts w:ascii="times new roman" w:hAnsi="times new roman"/>
          <w:b w:val="false"/>
          <w:bCs w:val="false"/>
        </w:rPr>
        <w:t xml:space="preserve">, which raises a </w:t>
      </w:r>
      <w:r>
        <w:rPr>
          <w:rStyle w:val="SourceText"/>
          <w:rFonts w:ascii="times new roman" w:hAnsi="times new roman"/>
          <w:b w:val="false"/>
          <w:bCs w:val="false"/>
        </w:rPr>
        <w:t>ValueError</w:t>
      </w:r>
      <w:r>
        <w:rPr>
          <w:rFonts w:ascii="times new roman" w:hAnsi="times new roman"/>
          <w:b w:val="false"/>
          <w:bCs w:val="false"/>
        </w:rPr>
        <w:t xml:space="preserve"> if the AI-detected observation dates in the output do not follow a strict chronological timeline.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w:t>
      </w:r>
      <w:r>
        <w:rPr>
          <w:rFonts w:ascii="times new roman" w:hAnsi="times new roman"/>
          <w:b w:val="false"/>
          <w:bCs w:val="false"/>
        </w:rPr>
        <w:t>3. Processing via Multimodal Generative AI</w:t>
      </w:r>
    </w:p>
    <w:p>
      <w:pPr>
        <w:pStyle w:val="BodyText"/>
        <w:spacing w:lineRule="auto" w:line="274" w:before="0" w:after="140"/>
        <w:ind w:hanging="0" w:left="0" w:right="0"/>
        <w:jc w:val="both"/>
        <w:rPr>
          <w:rFonts w:ascii="times new roman" w:hAnsi="times new roman"/>
          <w:b w:val="false"/>
          <w:bCs w:val="false"/>
        </w:rPr>
      </w:pPr>
      <w:bookmarkStart w:id="8" w:name="p-rc_64a8c6b88ba4c609-94"/>
      <w:bookmarkEnd w:id="8"/>
      <w:r>
        <w:rPr>
          <w:rFonts w:ascii="times new roman" w:hAnsi="times new roman"/>
          <w:b w:val="false"/>
          <w:bCs w:val="false"/>
        </w:rPr>
        <w:t xml:space="preserve">The core processing engine leverages the Gemini 3 Flash model to perform a multi-temporal analysis of the image sequences. </w:t>
      </w:r>
    </w:p>
    <w:p>
      <w:pPr>
        <w:pStyle w:val="BodyText"/>
        <w:numPr>
          <w:ilvl w:val="0"/>
          <w:numId w:val="4"/>
        </w:numPr>
        <w:tabs>
          <w:tab w:val="clear" w:pos="11340"/>
          <w:tab w:val="left" w:pos="0" w:leader="none"/>
        </w:tabs>
        <w:spacing w:lineRule="auto" w:line="274" w:before="0" w:after="140"/>
        <w:ind w:hanging="283" w:left="709" w:right="0"/>
        <w:jc w:val="both"/>
        <w:rPr/>
      </w:pPr>
      <w:bookmarkStart w:id="9" w:name="p-rc_64a8c6b88ba4c609-95"/>
      <w:bookmarkEnd w:id="9"/>
      <w:r>
        <w:rPr>
          <w:rFonts w:ascii="times new roman" w:hAnsi="times new roman"/>
          <w:b w:val="false"/>
          <w:bCs w:val="false"/>
        </w:rPr>
        <w:t xml:space="preserve">Structured Schema Enforcement: To ensure the output is suitable for scientific analysis, the system utilizes Pydantic to define a strict JSON schema. The </w:t>
      </w:r>
      <w:r>
        <w:rPr>
          <w:rStyle w:val="SourceText"/>
          <w:rFonts w:ascii="times new roman" w:hAnsi="times new roman"/>
          <w:b w:val="false"/>
          <w:bCs w:val="false"/>
        </w:rPr>
        <w:t>CropAnalysis</w:t>
      </w:r>
      <w:r>
        <w:rPr>
          <w:rFonts w:ascii="times new roman" w:hAnsi="times new roman"/>
          <w:b w:val="false"/>
          <w:bCs w:val="false"/>
        </w:rPr>
        <w:t xml:space="preserve"> model forces the AI to provide specific attributes, including phenological stages, canopy status, and detected anomalies (e.g., lodging or chlorosis) for each image in the sequence. </w:t>
      </w:r>
    </w:p>
    <w:p>
      <w:pPr>
        <w:pStyle w:val="BodyText"/>
        <w:numPr>
          <w:ilvl w:val="0"/>
          <w:numId w:val="4"/>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10" w:name="p-rc_64a8c6b88ba4c609-96"/>
      <w:bookmarkEnd w:id="10"/>
      <w:r>
        <w:rPr>
          <w:rFonts w:ascii="times new roman" w:hAnsi="times new roman"/>
          <w:b w:val="false"/>
          <w:bCs w:val="false"/>
        </w:rPr>
        <w:t xml:space="preserve">Contextual Prompting: The model is provided with the full sequence of images alongside a targeted prompt containing the variety and location. This allows the AI to "attend" to the growth trajectory over time rather than treating each image as a static snapshot. </w:t>
      </w:r>
    </w:p>
    <w:p>
      <w:pPr>
        <w:pStyle w:val="BodyText"/>
        <w:numPr>
          <w:ilvl w:val="0"/>
          <w:numId w:val="4"/>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11" w:name="p-rc_64a8c6b88ba4c609-97"/>
      <w:bookmarkEnd w:id="11"/>
      <w:r>
        <w:rPr>
          <w:rFonts w:ascii="times new roman" w:hAnsi="times new roman"/>
          <w:b w:val="false"/>
          <w:bCs w:val="false"/>
        </w:rPr>
        <w:t xml:space="preserve">Validation and Error Handling: The system includes a "strict" JSON parsing utility that strips unnecessary metadata from the schema to ensure compatibility with Gemini's response parser. </w:t>
      </w:r>
    </w:p>
    <w:p>
      <w:pPr>
        <w:pStyle w:val="Heading3"/>
        <w:widowControl/>
        <w:numPr>
          <w:ilvl w:val="0"/>
          <w:numId w:val="0"/>
        </w:numPr>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5.</w:t>
      </w:r>
      <w:r>
        <w:rPr>
          <w:rFonts w:ascii="times new roman" w:hAnsi="times new roman"/>
          <w:b w:val="false"/>
          <w:bCs w:val="false"/>
        </w:rPr>
        <w:t>4. Output and Actionable Evidence</w:t>
      </w:r>
    </w:p>
    <w:p>
      <w:pPr>
        <w:pStyle w:val="BodyText"/>
        <w:spacing w:lineRule="auto" w:line="274" w:before="0" w:after="140"/>
        <w:ind w:hanging="0" w:left="0" w:right="0"/>
        <w:jc w:val="both"/>
        <w:rPr/>
      </w:pPr>
      <w:bookmarkStart w:id="12" w:name="p-rc_64a8c6b88ba4c609-98"/>
      <w:bookmarkEnd w:id="12"/>
      <w:r>
        <w:rPr>
          <w:rFonts w:ascii="times new roman" w:hAnsi="times new roman"/>
          <w:b w:val="false"/>
          <w:bCs w:val="false"/>
        </w:rPr>
        <w:t xml:space="preserve">The final output is consolidated into a research-ready CSV file, </w:t>
      </w:r>
      <w:r>
        <w:rPr>
          <w:rStyle w:val="SourceText"/>
          <w:rFonts w:ascii="times new roman" w:hAnsi="times new roman"/>
          <w:b w:val="false"/>
          <w:bCs w:val="false"/>
        </w:rPr>
        <w:t>crop_research_results.csv</w:t>
      </w:r>
      <w:r>
        <w:rPr>
          <w:rFonts w:ascii="times new roman" w:hAnsi="times new roman"/>
          <w:b w:val="false"/>
          <w:bCs w:val="false"/>
        </w:rPr>
        <w:t xml:space="preserve">. This file provides a longitudinal summary of the crop's performance, including: </w:t>
      </w:r>
    </w:p>
    <w:p>
      <w:pPr>
        <w:pStyle w:val="BodyText"/>
        <w:numPr>
          <w:ilvl w:val="0"/>
          <w:numId w:val="5"/>
        </w:numPr>
        <w:tabs>
          <w:tab w:val="clear" w:pos="11340"/>
          <w:tab w:val="left" w:pos="0" w:leader="none"/>
        </w:tabs>
        <w:spacing w:lineRule="auto" w:line="274" w:before="0" w:after="140"/>
        <w:ind w:hanging="283" w:left="709" w:right="0"/>
        <w:jc w:val="both"/>
        <w:rPr>
          <w:rFonts w:ascii="times new roman" w:hAnsi="times new roman"/>
          <w:b w:val="false"/>
          <w:bCs w:val="false"/>
        </w:rPr>
      </w:pPr>
      <w:bookmarkStart w:id="13" w:name="p-rc_64a8c6b88ba4c609-99"/>
      <w:bookmarkEnd w:id="13"/>
      <w:r>
        <w:rPr>
          <w:rFonts w:ascii="times new roman" w:hAnsi="times new roman"/>
          <w:b w:val="false"/>
          <w:bCs w:val="false"/>
        </w:rPr>
        <w:t xml:space="preserve">Quantitative Metrics: AI-estimated yield in quintals per acre and a model-generated confidence score (0–100) reflecting the clarity of the evidence. </w:t>
      </w:r>
    </w:p>
    <w:p>
      <w:pPr>
        <w:pStyle w:val="BodyText"/>
        <w:numPr>
          <w:ilvl w:val="0"/>
          <w:numId w:val="5"/>
        </w:numPr>
        <w:tabs>
          <w:tab w:val="clear" w:pos="11340"/>
          <w:tab w:val="left" w:pos="0" w:leader="none"/>
        </w:tabs>
        <w:spacing w:lineRule="auto" w:line="274" w:before="0" w:after="140"/>
        <w:ind w:hanging="283" w:left="709" w:right="0"/>
        <w:jc w:val="both"/>
        <w:rPr/>
      </w:pPr>
      <w:bookmarkStart w:id="14" w:name="p-rc_64a8c6b88ba4c609-100"/>
      <w:bookmarkEnd w:id="14"/>
      <w:r>
        <w:rPr>
          <w:rFonts w:ascii="times new roman" w:hAnsi="times new roman"/>
          <w:b w:val="false"/>
          <w:bCs w:val="false"/>
        </w:rPr>
        <w:t xml:space="preserve">Qualitative Analysis: A </w:t>
      </w:r>
      <w:r>
        <w:rPr>
          <w:rStyle w:val="SourceText"/>
          <w:rFonts w:ascii="times new roman" w:hAnsi="times new roman"/>
          <w:b w:val="false"/>
          <w:bCs w:val="false"/>
        </w:rPr>
        <w:t>seasonal_summary</w:t>
      </w:r>
      <w:r>
        <w:rPr>
          <w:rFonts w:ascii="times new roman" w:hAnsi="times new roman"/>
          <w:b w:val="false"/>
          <w:bCs w:val="false"/>
        </w:rPr>
        <w:t xml:space="preserve"> that details the crop's health transitions, such as moving from a "vigorous vegetative phase" to "uniform heading" or identifying late-season "lodging" caused by environmental factors. </w:t>
      </w:r>
    </w:p>
    <w:p>
      <w:pPr>
        <w:pStyle w:val="BodyText"/>
        <w:spacing w:lineRule="auto" w:line="274" w:before="0" w:after="140"/>
        <w:ind w:hanging="0" w:left="0" w:right="0"/>
        <w:jc w:val="both"/>
        <w:rPr>
          <w:rFonts w:ascii="times new roman" w:hAnsi="times new roman"/>
          <w:b w:val="false"/>
          <w:bCs w:val="false"/>
        </w:rPr>
      </w:pPr>
      <w:r>
        <w:rPr>
          <w:rFonts w:ascii="times new roman" w:hAnsi="times new roman"/>
          <w:b w:val="false"/>
          <w:bCs w:val="false"/>
        </w:rPr>
        <w:t>This automated pipeline transforms disparate smartphone images into a verifiable growth record, serving as a basis for insurance claims, yield prediction, and hyperlocal climate-risk planning.</w:t>
      </w:r>
    </w:p>
    <w:p>
      <w:pPr>
        <w:pStyle w:val="BodyText"/>
        <w:ind w:hanging="0" w:left="0" w:right="0"/>
        <w:jc w:val="both"/>
        <w:rPr>
          <w:rFonts w:ascii="times new roman" w:hAnsi="times new roman"/>
          <w:color w:val="333333"/>
          <w:sz w:val="24"/>
          <w:szCs w:val="24"/>
          <w:lang w:val="en-IN"/>
        </w:rPr>
      </w:pPr>
      <w:r>
        <w:rPr>
          <w:rFonts w:ascii="times new roman" w:hAnsi="times new roman"/>
          <w:color w:val="333333"/>
          <w:sz w:val="24"/>
          <w:szCs w:val="24"/>
          <w:lang w:val="en-IN"/>
        </w:rPr>
        <w:t>6. Results and Discussion</w:t>
      </w:r>
    </w:p>
    <w:p>
      <w:pPr>
        <w:pStyle w:val="BodyText"/>
        <w:ind w:hanging="0" w:left="0" w:right="0"/>
        <w:jc w:val="both"/>
        <w:rPr>
          <w:rFonts w:ascii="times new roman" w:hAnsi="times new roman"/>
          <w:color w:val="333333"/>
          <w:sz w:val="24"/>
          <w:szCs w:val="24"/>
          <w:lang w:val="en-IN"/>
        </w:rPr>
      </w:pPr>
      <w:r>
        <w:rPr>
          <w:rFonts w:ascii="times new roman" w:hAnsi="times new roman"/>
          <w:color w:val="333333"/>
          <w:sz w:val="24"/>
          <w:szCs w:val="24"/>
          <w:lang w:val="en-IN"/>
        </w:rPr>
        <w:t>A total of 118 field observations across nine wheat varieties (HD2967, KRL 210, PBW725, HD 3086, WH1105, WH1142, DBW90, Syngenta 23, and H3043) were analyzed for growth performance, yield estimation, and stress factors. Observations were collected from multiple locations across Haryana and Punjab, India, during the 20</w:t>
      </w:r>
      <w:r>
        <w:rPr>
          <w:rFonts w:ascii="times new roman" w:hAnsi="times new roman"/>
          <w:color w:val="333333"/>
          <w:sz w:val="24"/>
          <w:szCs w:val="24"/>
          <w:lang w:val="en-IN"/>
        </w:rPr>
        <w:t>17</w:t>
      </w:r>
      <w:r>
        <w:rPr>
          <w:rFonts w:ascii="times new roman" w:hAnsi="times new roman"/>
          <w:color w:val="333333"/>
          <w:sz w:val="24"/>
          <w:szCs w:val="24"/>
          <w:lang w:val="en-IN"/>
        </w:rPr>
        <w:t>–</w:t>
      </w:r>
      <w:r>
        <w:rPr>
          <w:rFonts w:ascii="times new roman" w:hAnsi="times new roman"/>
          <w:color w:val="333333"/>
          <w:sz w:val="24"/>
          <w:szCs w:val="24"/>
          <w:lang w:val="en-IN"/>
        </w:rPr>
        <w:t>18</w:t>
      </w:r>
      <w:r>
        <w:rPr>
          <w:rFonts w:ascii="times new roman" w:hAnsi="times new roman"/>
          <w:color w:val="333333"/>
          <w:sz w:val="24"/>
          <w:szCs w:val="24"/>
          <w:lang w:val="en-IN"/>
        </w:rPr>
        <w:t xml:space="preserve"> rabi (winter) season.</w:t>
      </w:r>
    </w:p>
    <w:p>
      <w:pPr>
        <w:pStyle w:val="BodyText"/>
        <w:rPr/>
      </w:pPr>
      <w:r>
        <w:rPr/>
        <w:t>6</w:t>
      </w:r>
      <w:r>
        <w:rPr/>
        <w:t>.1 Phenological Progression and Crop Health</w:t>
      </w:r>
    </w:p>
    <w:p>
      <w:pPr>
        <w:pStyle w:val="BodyText"/>
        <w:rPr/>
      </w:pPr>
      <w:r>
        <w:rPr/>
        <w:t>6</w:t>
      </w:r>
      <w:r>
        <w:rPr/>
        <w:t>.1.1 General Observations</w:t>
      </w:r>
    </w:p>
    <w:p>
      <w:pPr>
        <w:pStyle w:val="BodyText"/>
        <w:rPr/>
      </w:pPr>
      <w:r>
        <w:rPr/>
        <w:t>Across all varieties, the majority of crops followed a standard phenological progression from emergence (November–December) through tillering and jointing (January–February), heading and anthesis (February–March), grain filling (March), and physiological maturity (April). Early-season conditions, including heavy fog and high humidity (reported in 23% of observations), were typical for the North Indian plains and did not adversely affect crop establishment.</w:t>
      </w:r>
    </w:p>
    <w:p>
      <w:pPr>
        <w:pStyle w:val="BodyText"/>
        <w:rPr/>
      </w:pPr>
      <w:r>
        <w:rPr/>
        <w:t>6</w:t>
      </w:r>
      <w:r>
        <w:rPr/>
        <w:t>.1.2 Varietal Differences in Growth Patterns</w:t>
      </w:r>
    </w:p>
    <w:p>
      <w:pPr>
        <w:pStyle w:val="BodyText"/>
        <w:rPr/>
      </w:pPr>
      <w:r>
        <w:rPr/>
        <w:t>HD2967-the most frequently observed variety (n = 82), consistently demonstrated robust vegetative growth with high tiller density and uniform canopy closure. However, the variety showed marked susceptibility to late-season lodging, with 34% of HD2967 observations reporting some degree of lodging at or after heading.</w:t>
      </w:r>
    </w:p>
    <w:p>
      <w:pPr>
        <w:pStyle w:val="BodyText"/>
        <w:rPr/>
      </w:pPr>
      <w:r>
        <w:rPr/>
        <w:t>DBW90 and HD 3086-exhibited superior stand uniformity and no visible lodging in any observation, suggesting stronger stem architecture or better adaptation to local wind/rain patterns during grain filling.</w:t>
      </w:r>
    </w:p>
    <w:p>
      <w:pPr>
        <w:pStyle w:val="BodyText"/>
        <w:rPr/>
      </w:pPr>
      <w:r>
        <w:rPr/>
        <w:t>KRL 210 showed good early vigor but moderate lodging susceptibility, while WH1105 and WH1142 demonstrated excellent canopy density and uniform ripening under favorable conditions.</w:t>
      </w:r>
    </w:p>
    <w:p>
      <w:pPr>
        <w:pStyle w:val="BodyText"/>
        <w:rPr/>
      </w:pPr>
      <w:r>
        <w:rPr/>
        <w:t>Syngenta 23 and H3043 showed strong initial growth but significant lodging in later stages, limiting their yield realization despite high early potential.</w:t>
      </w:r>
    </w:p>
    <w:p>
      <w:pPr>
        <w:pStyle w:val="BodyText"/>
        <w:rPr/>
      </w:pPr>
      <w:r>
        <w:rPr/>
        <w:t>6</w:t>
      </w:r>
      <w:r>
        <w:rPr/>
        <w:t>.2 Yield Estimation Across Wheat Varieties</w:t>
      </w:r>
    </w:p>
    <w:p>
      <w:pPr>
        <w:pStyle w:val="BodyText"/>
        <w:rPr/>
      </w:pPr>
      <w:r>
        <w:rPr/>
        <w:t>6</w:t>
      </w:r>
      <w:r>
        <w:rPr/>
        <w:t>.2.1 Overview of Yield Performance</w:t>
      </w:r>
    </w:p>
    <w:p>
      <w:pPr>
        <w:pStyle w:val="BodyText"/>
        <w:rPr/>
      </w:pPr>
      <w:r>
        <w:rPr/>
        <w:t xml:space="preserve">Estimated yields ranged from  14.5 to 27.2 quintals per acre (q/acre)  , with a mean of 21.8 ± 2.1 q/acre and a median of 22.5 q/acre. The interquartile range (21.5–23.8 q/acre) represents typical yields under standard management conditions (Table </w:t>
      </w:r>
      <w:r>
        <w:rPr/>
        <w:t>4</w:t>
      </w:r>
      <w:r>
        <w:rPr/>
        <w:t>). </w:t>
      </w:r>
    </w:p>
    <w:tbl>
      <w:tblPr>
        <w:tblW w:w="5000" w:type="pct"/>
        <w:jc w:val="left"/>
        <w:tblInd w:w="55" w:type="dxa"/>
        <w:tblLayout w:type="fixed"/>
        <w:tblCellMar>
          <w:top w:w="55" w:type="dxa"/>
          <w:left w:w="55" w:type="dxa"/>
          <w:bottom w:w="55" w:type="dxa"/>
          <w:right w:w="55" w:type="dxa"/>
        </w:tblCellMar>
      </w:tblPr>
      <w:tblGrid>
        <w:gridCol w:w="4819"/>
        <w:gridCol w:w="4819"/>
      </w:tblGrid>
      <w:tr>
        <w:trPr>
          <w:tblHeader w:val="true"/>
        </w:trPr>
        <w:tc>
          <w:tcPr>
            <w:tcW w:w="4819" w:type="dxa"/>
            <w:tcBorders>
              <w:top w:val="single" w:sz="4" w:space="0" w:color="000000"/>
              <w:left w:val="single" w:sz="4" w:space="0" w:color="000000"/>
              <w:bottom w:val="single" w:sz="4" w:space="0" w:color="000000"/>
            </w:tcBorders>
          </w:tcPr>
          <w:p>
            <w:pPr>
              <w:pStyle w:val="TableHeading"/>
              <w:jc w:val="left"/>
              <w:rPr/>
            </w:pPr>
            <w:r>
              <w:rPr/>
              <w:t>Statistic</w:t>
            </w:r>
          </w:p>
        </w:tc>
        <w:tc>
          <w:tcPr>
            <w:tcW w:w="4819" w:type="dxa"/>
            <w:tcBorders>
              <w:top w:val="single" w:sz="4" w:space="0" w:color="000000"/>
              <w:left w:val="single" w:sz="4" w:space="0" w:color="000000"/>
              <w:bottom w:val="single" w:sz="4" w:space="0" w:color="000000"/>
              <w:right w:val="single" w:sz="4" w:space="0" w:color="000000"/>
            </w:tcBorders>
          </w:tcPr>
          <w:p>
            <w:pPr>
              <w:pStyle w:val="TableHeading"/>
              <w:jc w:val="left"/>
              <w:rPr/>
            </w:pPr>
            <w:r>
              <w:rPr/>
              <w:t>Value (quintals per acre)</w:t>
            </w:r>
          </w:p>
        </w:tc>
      </w:tr>
      <w:tr>
        <w:trPr/>
        <w:tc>
          <w:tcPr>
            <w:tcW w:w="4819" w:type="dxa"/>
            <w:tcBorders>
              <w:left w:val="single" w:sz="4" w:space="0" w:color="000000"/>
              <w:bottom w:val="single" w:sz="4" w:space="0" w:color="000000"/>
            </w:tcBorders>
          </w:tcPr>
          <w:p>
            <w:pPr>
              <w:pStyle w:val="TableContents"/>
              <w:jc w:val="left"/>
              <w:rPr/>
            </w:pPr>
            <w:r>
              <w:rPr/>
              <w:t>Minimum</w:t>
            </w:r>
          </w:p>
        </w:tc>
        <w:tc>
          <w:tcPr>
            <w:tcW w:w="4819" w:type="dxa"/>
            <w:tcBorders>
              <w:left w:val="single" w:sz="4" w:space="0" w:color="000000"/>
              <w:bottom w:val="single" w:sz="4" w:space="0" w:color="000000"/>
              <w:right w:val="single" w:sz="4" w:space="0" w:color="000000"/>
            </w:tcBorders>
          </w:tcPr>
          <w:p>
            <w:pPr>
              <w:pStyle w:val="TableContents"/>
              <w:jc w:val="left"/>
              <w:rPr/>
            </w:pPr>
            <w:r>
              <w:rPr/>
              <w:t>14.5</w:t>
            </w:r>
          </w:p>
        </w:tc>
      </w:tr>
      <w:tr>
        <w:trPr/>
        <w:tc>
          <w:tcPr>
            <w:tcW w:w="4819" w:type="dxa"/>
            <w:tcBorders>
              <w:left w:val="single" w:sz="4" w:space="0" w:color="000000"/>
              <w:bottom w:val="single" w:sz="4" w:space="0" w:color="000000"/>
            </w:tcBorders>
          </w:tcPr>
          <w:p>
            <w:pPr>
              <w:pStyle w:val="TableContents"/>
              <w:jc w:val="left"/>
              <w:rPr/>
            </w:pPr>
            <w:r>
              <w:rPr/>
              <w:t>Maximum</w:t>
            </w:r>
          </w:p>
        </w:tc>
        <w:tc>
          <w:tcPr>
            <w:tcW w:w="4819" w:type="dxa"/>
            <w:tcBorders>
              <w:left w:val="single" w:sz="4" w:space="0" w:color="000000"/>
              <w:bottom w:val="single" w:sz="4" w:space="0" w:color="000000"/>
              <w:right w:val="single" w:sz="4" w:space="0" w:color="000000"/>
            </w:tcBorders>
          </w:tcPr>
          <w:p>
            <w:pPr>
              <w:pStyle w:val="TableContents"/>
              <w:jc w:val="left"/>
              <w:rPr/>
            </w:pPr>
            <w:r>
              <w:rPr/>
              <w:t>27.2</w:t>
            </w:r>
          </w:p>
        </w:tc>
      </w:tr>
      <w:tr>
        <w:trPr/>
        <w:tc>
          <w:tcPr>
            <w:tcW w:w="4819" w:type="dxa"/>
            <w:tcBorders>
              <w:left w:val="single" w:sz="4" w:space="0" w:color="000000"/>
              <w:bottom w:val="single" w:sz="4" w:space="0" w:color="000000"/>
            </w:tcBorders>
          </w:tcPr>
          <w:p>
            <w:pPr>
              <w:pStyle w:val="TableContents"/>
              <w:jc w:val="left"/>
              <w:rPr/>
            </w:pPr>
            <w:r>
              <w:rPr/>
              <w:t>Mean ± SD</w:t>
            </w:r>
          </w:p>
        </w:tc>
        <w:tc>
          <w:tcPr>
            <w:tcW w:w="4819" w:type="dxa"/>
            <w:tcBorders>
              <w:left w:val="single" w:sz="4" w:space="0" w:color="000000"/>
              <w:bottom w:val="single" w:sz="4" w:space="0" w:color="000000"/>
              <w:right w:val="single" w:sz="4" w:space="0" w:color="000000"/>
            </w:tcBorders>
          </w:tcPr>
          <w:p>
            <w:pPr>
              <w:pStyle w:val="TableContents"/>
              <w:jc w:val="left"/>
              <w:rPr/>
            </w:pPr>
            <w:r>
              <w:rPr/>
              <w:t>21.8 ± 2.1</w:t>
            </w:r>
          </w:p>
        </w:tc>
      </w:tr>
      <w:tr>
        <w:trPr/>
        <w:tc>
          <w:tcPr>
            <w:tcW w:w="4819" w:type="dxa"/>
            <w:tcBorders>
              <w:left w:val="single" w:sz="4" w:space="0" w:color="000000"/>
              <w:bottom w:val="single" w:sz="4" w:space="0" w:color="000000"/>
            </w:tcBorders>
          </w:tcPr>
          <w:p>
            <w:pPr>
              <w:pStyle w:val="TableContents"/>
              <w:jc w:val="left"/>
              <w:rPr/>
            </w:pPr>
            <w:r>
              <w:rPr/>
              <w:t>Median</w:t>
            </w:r>
          </w:p>
        </w:tc>
        <w:tc>
          <w:tcPr>
            <w:tcW w:w="4819" w:type="dxa"/>
            <w:tcBorders>
              <w:left w:val="single" w:sz="4" w:space="0" w:color="000000"/>
              <w:bottom w:val="single" w:sz="4" w:space="0" w:color="000000"/>
              <w:right w:val="single" w:sz="4" w:space="0" w:color="000000"/>
            </w:tcBorders>
          </w:tcPr>
          <w:p>
            <w:pPr>
              <w:pStyle w:val="TableContents"/>
              <w:jc w:val="left"/>
              <w:rPr/>
            </w:pPr>
            <w:r>
              <w:rPr/>
              <w:t>22.5</w:t>
            </w:r>
          </w:p>
        </w:tc>
      </w:tr>
      <w:tr>
        <w:trPr/>
        <w:tc>
          <w:tcPr>
            <w:tcW w:w="4819" w:type="dxa"/>
            <w:tcBorders>
              <w:left w:val="single" w:sz="4" w:space="0" w:color="000000"/>
              <w:bottom w:val="single" w:sz="4" w:space="0" w:color="000000"/>
            </w:tcBorders>
          </w:tcPr>
          <w:p>
            <w:pPr>
              <w:pStyle w:val="TableContents"/>
              <w:jc w:val="left"/>
              <w:rPr/>
            </w:pPr>
            <w:r>
              <w:rPr/>
              <w:t>Interquartile range</w:t>
            </w:r>
          </w:p>
        </w:tc>
        <w:tc>
          <w:tcPr>
            <w:tcW w:w="4819" w:type="dxa"/>
            <w:tcBorders>
              <w:left w:val="single" w:sz="4" w:space="0" w:color="000000"/>
              <w:bottom w:val="single" w:sz="4" w:space="0" w:color="000000"/>
              <w:right w:val="single" w:sz="4" w:space="0" w:color="000000"/>
            </w:tcBorders>
          </w:tcPr>
          <w:p>
            <w:pPr>
              <w:pStyle w:val="TableContents"/>
              <w:jc w:val="left"/>
              <w:rPr/>
            </w:pPr>
            <w:r>
              <w:rPr/>
              <w:t>21.5 – 23.8</w:t>
            </w:r>
          </w:p>
        </w:tc>
      </w:tr>
    </w:tbl>
    <w:p>
      <w:pPr>
        <w:pStyle w:val="BodyText"/>
        <w:rPr/>
      </w:pPr>
      <w:r>
        <w:rPr/>
      </w:r>
    </w:p>
    <w:p>
      <w:pPr>
        <w:pStyle w:val="BodyText"/>
        <w:jc w:val="center"/>
        <w:rPr/>
      </w:pPr>
      <w:r>
        <w:rPr/>
        <w:t xml:space="preserve">Table </w:t>
      </w:r>
      <w:r>
        <w:rPr/>
        <w:t>4</w:t>
      </w:r>
      <w:r>
        <w:rPr/>
        <w:t>. Descriptive statistics of estimated yield across all observations (n = 118)</w:t>
      </w:r>
    </w:p>
    <w:p>
      <w:pPr>
        <w:pStyle w:val="BodyText"/>
        <w:rPr/>
      </w:pPr>
      <w:r>
        <w:rPr/>
        <w:t>6</w:t>
      </w:r>
      <w:r>
        <w:rPr/>
        <w:t>.2.2 Variety-Specific Yield Potential</w:t>
      </w:r>
    </w:p>
    <w:p>
      <w:pPr>
        <w:pStyle w:val="BodyText"/>
        <w:rPr/>
      </w:pPr>
      <w:r>
        <w:rPr/>
        <w:t>Among the evaluated varieties,  DBW90  demonstrated the highest yield potential (27.2 q/acre, 92% confidence), attributed to excellent early vegetative development, synchronous heading, and the absence of visible stress or pest infestation.  HD 3086  and  WH1105  also performed exceptionally well, achieving up to 24.5 q/acre under optimal conditions.</w:t>
      </w:r>
    </w:p>
    <w:p>
      <w:pPr>
        <w:pStyle w:val="BodyText"/>
        <w:rPr/>
      </w:pPr>
      <w:r>
        <w:rPr/>
        <w:t>HD2967 , despite its high genetic potential (maximum observed yield 25.0 q/acre), exhibited wide yield variability (16.5–25.0 q/acre) due to differential lodging severity. Under optimal conditions without lodging, HD2967 consistently yielded 23.0–24.5 q/acre; however, lodging-affected fields averaged only 17.8 ± 1.4 q/acre.</w:t>
      </w:r>
    </w:p>
    <w:p>
      <w:pPr>
        <w:pStyle w:val="BodyText"/>
        <w:rPr/>
      </w:pPr>
      <w:r>
        <w:rPr/>
        <w:t xml:space="preserve">KRL 210  and  H3043  showed moderate yield potential (19.2 ± 1.6 and 19.5 ± 2.1 q/acre, respectively), while  Syngenta 23  yielded 19.5–22.5 q/acre depending on lodging severity (Table </w:t>
      </w:r>
      <w:r>
        <w:rPr/>
        <w:t>5</w:t>
      </w:r>
      <w:r>
        <w:rPr/>
        <w:t>).</w:t>
      </w:r>
    </w:p>
    <w:tbl>
      <w:tblPr>
        <w:tblW w:w="5000" w:type="pct"/>
        <w:jc w:val="left"/>
        <w:tblInd w:w="55" w:type="dxa"/>
        <w:tblLayout w:type="fixed"/>
        <w:tblCellMar>
          <w:top w:w="55" w:type="dxa"/>
          <w:left w:w="55" w:type="dxa"/>
          <w:bottom w:w="55" w:type="dxa"/>
          <w:right w:w="55" w:type="dxa"/>
        </w:tblCellMar>
      </w:tblPr>
      <w:tblGrid>
        <w:gridCol w:w="1927"/>
        <w:gridCol w:w="1928"/>
        <w:gridCol w:w="1927"/>
        <w:gridCol w:w="1928"/>
        <w:gridCol w:w="1928"/>
      </w:tblGrid>
      <w:tr>
        <w:trPr>
          <w:tblHeader w:val="true"/>
        </w:trPr>
        <w:tc>
          <w:tcPr>
            <w:tcW w:w="1927" w:type="dxa"/>
            <w:tcBorders>
              <w:top w:val="single" w:sz="4" w:space="0" w:color="000000"/>
              <w:left w:val="single" w:sz="4" w:space="0" w:color="000000"/>
              <w:bottom w:val="single" w:sz="4" w:space="0" w:color="000000"/>
            </w:tcBorders>
          </w:tcPr>
          <w:p>
            <w:pPr>
              <w:pStyle w:val="TableHeading"/>
              <w:jc w:val="left"/>
              <w:rPr/>
            </w:pPr>
            <w:r>
              <w:rPr/>
              <w:t>Variety</w:t>
            </w:r>
          </w:p>
        </w:tc>
        <w:tc>
          <w:tcPr>
            <w:tcW w:w="1928" w:type="dxa"/>
            <w:tcBorders>
              <w:top w:val="single" w:sz="4" w:space="0" w:color="000000"/>
              <w:left w:val="single" w:sz="4" w:space="0" w:color="000000"/>
              <w:bottom w:val="single" w:sz="4" w:space="0" w:color="000000"/>
            </w:tcBorders>
          </w:tcPr>
          <w:p>
            <w:pPr>
              <w:pStyle w:val="TableHeading"/>
              <w:jc w:val="left"/>
              <w:rPr/>
            </w:pPr>
            <w:r>
              <w:rPr/>
              <w:t>n</w:t>
            </w:r>
          </w:p>
        </w:tc>
        <w:tc>
          <w:tcPr>
            <w:tcW w:w="1927" w:type="dxa"/>
            <w:tcBorders>
              <w:top w:val="single" w:sz="4" w:space="0" w:color="000000"/>
              <w:left w:val="single" w:sz="4" w:space="0" w:color="000000"/>
              <w:bottom w:val="single" w:sz="4" w:space="0" w:color="000000"/>
            </w:tcBorders>
          </w:tcPr>
          <w:p>
            <w:pPr>
              <w:pStyle w:val="TableHeading"/>
              <w:jc w:val="left"/>
              <w:rPr/>
            </w:pPr>
            <w:r>
              <w:rPr/>
              <w:t>Maximum yield (q/acre)</w:t>
            </w:r>
          </w:p>
        </w:tc>
        <w:tc>
          <w:tcPr>
            <w:tcW w:w="1928" w:type="dxa"/>
            <w:tcBorders>
              <w:top w:val="single" w:sz="4" w:space="0" w:color="000000"/>
              <w:left w:val="single" w:sz="4" w:space="0" w:color="000000"/>
              <w:bottom w:val="single" w:sz="4" w:space="0" w:color="000000"/>
            </w:tcBorders>
          </w:tcPr>
          <w:p>
            <w:pPr>
              <w:pStyle w:val="TableHeading"/>
              <w:jc w:val="left"/>
              <w:rPr/>
            </w:pPr>
            <w:r>
              <w:rPr/>
              <w:t>Typical range (q/acre)</w:t>
            </w:r>
          </w:p>
        </w:tc>
        <w:tc>
          <w:tcPr>
            <w:tcW w:w="1928" w:type="dxa"/>
            <w:tcBorders>
              <w:top w:val="single" w:sz="4" w:space="0" w:color="000000"/>
              <w:left w:val="single" w:sz="4" w:space="0" w:color="000000"/>
              <w:bottom w:val="single" w:sz="4" w:space="0" w:color="000000"/>
              <w:right w:val="single" w:sz="4" w:space="0" w:color="000000"/>
            </w:tcBorders>
          </w:tcPr>
          <w:p>
            <w:pPr>
              <w:pStyle w:val="TableHeading"/>
              <w:jc w:val="left"/>
              <w:rPr/>
            </w:pPr>
            <w:r>
              <w:rPr/>
              <w:t>Confidence range (%)</w:t>
            </w:r>
          </w:p>
        </w:tc>
      </w:tr>
      <w:tr>
        <w:trPr/>
        <w:tc>
          <w:tcPr>
            <w:tcW w:w="1927" w:type="dxa"/>
            <w:tcBorders>
              <w:left w:val="single" w:sz="4" w:space="0" w:color="000000"/>
              <w:bottom w:val="single" w:sz="4" w:space="0" w:color="000000"/>
            </w:tcBorders>
          </w:tcPr>
          <w:p>
            <w:pPr>
              <w:pStyle w:val="TableContents"/>
              <w:jc w:val="left"/>
              <w:rPr/>
            </w:pPr>
            <w:r>
              <w:rPr/>
              <w:t>DBW90</w:t>
            </w:r>
          </w:p>
        </w:tc>
        <w:tc>
          <w:tcPr>
            <w:tcW w:w="1928" w:type="dxa"/>
            <w:tcBorders>
              <w:left w:val="single" w:sz="4" w:space="0" w:color="000000"/>
              <w:bottom w:val="single" w:sz="4" w:space="0" w:color="000000"/>
            </w:tcBorders>
          </w:tcPr>
          <w:p>
            <w:pPr>
              <w:pStyle w:val="TableContents"/>
              <w:jc w:val="left"/>
              <w:rPr/>
            </w:pPr>
            <w:r>
              <w:rPr/>
              <w:t>3</w:t>
            </w:r>
          </w:p>
        </w:tc>
        <w:tc>
          <w:tcPr>
            <w:tcW w:w="1927" w:type="dxa"/>
            <w:tcBorders>
              <w:left w:val="single" w:sz="4" w:space="0" w:color="000000"/>
              <w:bottom w:val="single" w:sz="4" w:space="0" w:color="000000"/>
            </w:tcBorders>
          </w:tcPr>
          <w:p>
            <w:pPr>
              <w:pStyle w:val="TableContents"/>
              <w:jc w:val="left"/>
              <w:rPr/>
            </w:pPr>
            <w:r>
              <w:rPr/>
              <w:t>27.2</w:t>
            </w:r>
          </w:p>
        </w:tc>
        <w:tc>
          <w:tcPr>
            <w:tcW w:w="1928" w:type="dxa"/>
            <w:tcBorders>
              <w:left w:val="single" w:sz="4" w:space="0" w:color="000000"/>
              <w:bottom w:val="single" w:sz="4" w:space="0" w:color="000000"/>
            </w:tcBorders>
          </w:tcPr>
          <w:p>
            <w:pPr>
              <w:pStyle w:val="TableContents"/>
              <w:jc w:val="left"/>
              <w:rPr/>
            </w:pPr>
            <w:r>
              <w:rPr/>
              <w:t>22.5 – 27.2</w:t>
            </w:r>
          </w:p>
        </w:tc>
        <w:tc>
          <w:tcPr>
            <w:tcW w:w="1928" w:type="dxa"/>
            <w:tcBorders>
              <w:left w:val="single" w:sz="4" w:space="0" w:color="000000"/>
              <w:bottom w:val="single" w:sz="4" w:space="0" w:color="000000"/>
              <w:right w:val="single" w:sz="4" w:space="0" w:color="000000"/>
            </w:tcBorders>
          </w:tcPr>
          <w:p>
            <w:pPr>
              <w:pStyle w:val="TableContents"/>
              <w:jc w:val="left"/>
              <w:rPr/>
            </w:pPr>
            <w:r>
              <w:rPr/>
              <w:t>92–95</w:t>
            </w:r>
          </w:p>
        </w:tc>
      </w:tr>
      <w:tr>
        <w:trPr/>
        <w:tc>
          <w:tcPr>
            <w:tcW w:w="1927" w:type="dxa"/>
            <w:tcBorders>
              <w:left w:val="single" w:sz="4" w:space="0" w:color="000000"/>
              <w:bottom w:val="single" w:sz="4" w:space="0" w:color="000000"/>
            </w:tcBorders>
          </w:tcPr>
          <w:p>
            <w:pPr>
              <w:pStyle w:val="TableContents"/>
              <w:jc w:val="left"/>
              <w:rPr/>
            </w:pPr>
            <w:r>
              <w:rPr/>
              <w:t>HD 3086</w:t>
            </w:r>
          </w:p>
        </w:tc>
        <w:tc>
          <w:tcPr>
            <w:tcW w:w="1928" w:type="dxa"/>
            <w:tcBorders>
              <w:left w:val="single" w:sz="4" w:space="0" w:color="000000"/>
              <w:bottom w:val="single" w:sz="4" w:space="0" w:color="000000"/>
            </w:tcBorders>
          </w:tcPr>
          <w:p>
            <w:pPr>
              <w:pStyle w:val="TableContents"/>
              <w:jc w:val="left"/>
              <w:rPr/>
            </w:pPr>
            <w:r>
              <w:rPr/>
              <w:t>7</w:t>
            </w:r>
          </w:p>
        </w:tc>
        <w:tc>
          <w:tcPr>
            <w:tcW w:w="1927" w:type="dxa"/>
            <w:tcBorders>
              <w:left w:val="single" w:sz="4" w:space="0" w:color="000000"/>
              <w:bottom w:val="single" w:sz="4" w:space="0" w:color="000000"/>
            </w:tcBorders>
          </w:tcPr>
          <w:p>
            <w:pPr>
              <w:pStyle w:val="TableContents"/>
              <w:jc w:val="left"/>
              <w:rPr/>
            </w:pPr>
            <w:r>
              <w:rPr/>
              <w:t>24.5</w:t>
            </w:r>
          </w:p>
        </w:tc>
        <w:tc>
          <w:tcPr>
            <w:tcW w:w="1928" w:type="dxa"/>
            <w:tcBorders>
              <w:left w:val="single" w:sz="4" w:space="0" w:color="000000"/>
              <w:bottom w:val="single" w:sz="4" w:space="0" w:color="000000"/>
            </w:tcBorders>
          </w:tcPr>
          <w:p>
            <w:pPr>
              <w:pStyle w:val="TableContents"/>
              <w:jc w:val="left"/>
              <w:rPr/>
            </w:pPr>
            <w:r>
              <w:rPr/>
              <w:t>22.5 – 24.5</w:t>
            </w:r>
          </w:p>
        </w:tc>
        <w:tc>
          <w:tcPr>
            <w:tcW w:w="1928" w:type="dxa"/>
            <w:tcBorders>
              <w:left w:val="single" w:sz="4" w:space="0" w:color="000000"/>
              <w:bottom w:val="single" w:sz="4" w:space="0" w:color="000000"/>
              <w:right w:val="single" w:sz="4" w:space="0" w:color="000000"/>
            </w:tcBorders>
          </w:tcPr>
          <w:p>
            <w:pPr>
              <w:pStyle w:val="TableContents"/>
              <w:jc w:val="left"/>
              <w:rPr/>
            </w:pPr>
            <w:r>
              <w:rPr/>
              <w:t>90–95</w:t>
            </w:r>
          </w:p>
        </w:tc>
      </w:tr>
      <w:tr>
        <w:trPr/>
        <w:tc>
          <w:tcPr>
            <w:tcW w:w="1927" w:type="dxa"/>
            <w:tcBorders>
              <w:left w:val="single" w:sz="4" w:space="0" w:color="000000"/>
              <w:bottom w:val="single" w:sz="4" w:space="0" w:color="000000"/>
            </w:tcBorders>
          </w:tcPr>
          <w:p>
            <w:pPr>
              <w:pStyle w:val="TableContents"/>
              <w:jc w:val="left"/>
              <w:rPr/>
            </w:pPr>
            <w:r>
              <w:rPr/>
              <w:t>WH1105</w:t>
            </w:r>
          </w:p>
        </w:tc>
        <w:tc>
          <w:tcPr>
            <w:tcW w:w="1928" w:type="dxa"/>
            <w:tcBorders>
              <w:left w:val="single" w:sz="4" w:space="0" w:color="000000"/>
              <w:bottom w:val="single" w:sz="4" w:space="0" w:color="000000"/>
            </w:tcBorders>
          </w:tcPr>
          <w:p>
            <w:pPr>
              <w:pStyle w:val="TableContents"/>
              <w:jc w:val="left"/>
              <w:rPr/>
            </w:pPr>
            <w:r>
              <w:rPr/>
              <w:t>4</w:t>
            </w:r>
          </w:p>
        </w:tc>
        <w:tc>
          <w:tcPr>
            <w:tcW w:w="1927" w:type="dxa"/>
            <w:tcBorders>
              <w:left w:val="single" w:sz="4" w:space="0" w:color="000000"/>
              <w:bottom w:val="single" w:sz="4" w:space="0" w:color="000000"/>
            </w:tcBorders>
          </w:tcPr>
          <w:p>
            <w:pPr>
              <w:pStyle w:val="TableContents"/>
              <w:jc w:val="left"/>
              <w:rPr/>
            </w:pPr>
            <w:r>
              <w:rPr/>
              <w:t>24.5</w:t>
            </w:r>
          </w:p>
        </w:tc>
        <w:tc>
          <w:tcPr>
            <w:tcW w:w="1928" w:type="dxa"/>
            <w:tcBorders>
              <w:left w:val="single" w:sz="4" w:space="0" w:color="000000"/>
              <w:bottom w:val="single" w:sz="4" w:space="0" w:color="000000"/>
            </w:tcBorders>
          </w:tcPr>
          <w:p>
            <w:pPr>
              <w:pStyle w:val="TableContents"/>
              <w:jc w:val="left"/>
              <w:rPr/>
            </w:pPr>
            <w:r>
              <w:rPr/>
              <w:t>21.2 – 24.5</w:t>
            </w:r>
          </w:p>
        </w:tc>
        <w:tc>
          <w:tcPr>
            <w:tcW w:w="1928" w:type="dxa"/>
            <w:tcBorders>
              <w:left w:val="single" w:sz="4" w:space="0" w:color="000000"/>
              <w:bottom w:val="single" w:sz="4" w:space="0" w:color="000000"/>
              <w:right w:val="single" w:sz="4" w:space="0" w:color="000000"/>
            </w:tcBorders>
          </w:tcPr>
          <w:p>
            <w:pPr>
              <w:pStyle w:val="TableContents"/>
              <w:jc w:val="left"/>
              <w:rPr/>
            </w:pPr>
            <w:r>
              <w:rPr/>
              <w:t>90–95</w:t>
            </w:r>
          </w:p>
        </w:tc>
      </w:tr>
      <w:tr>
        <w:trPr/>
        <w:tc>
          <w:tcPr>
            <w:tcW w:w="1927" w:type="dxa"/>
            <w:tcBorders>
              <w:left w:val="single" w:sz="4" w:space="0" w:color="000000"/>
              <w:bottom w:val="single" w:sz="4" w:space="0" w:color="000000"/>
            </w:tcBorders>
          </w:tcPr>
          <w:p>
            <w:pPr>
              <w:pStyle w:val="TableContents"/>
              <w:jc w:val="left"/>
              <w:rPr/>
            </w:pPr>
            <w:r>
              <w:rPr/>
              <w:t>WH1142</w:t>
            </w:r>
          </w:p>
        </w:tc>
        <w:tc>
          <w:tcPr>
            <w:tcW w:w="1928" w:type="dxa"/>
            <w:tcBorders>
              <w:left w:val="single" w:sz="4" w:space="0" w:color="000000"/>
              <w:bottom w:val="single" w:sz="4" w:space="0" w:color="000000"/>
            </w:tcBorders>
          </w:tcPr>
          <w:p>
            <w:pPr>
              <w:pStyle w:val="TableContents"/>
              <w:jc w:val="left"/>
              <w:rPr/>
            </w:pPr>
            <w:r>
              <w:rPr/>
              <w:t>2</w:t>
            </w:r>
          </w:p>
        </w:tc>
        <w:tc>
          <w:tcPr>
            <w:tcW w:w="1927" w:type="dxa"/>
            <w:tcBorders>
              <w:left w:val="single" w:sz="4" w:space="0" w:color="000000"/>
              <w:bottom w:val="single" w:sz="4" w:space="0" w:color="000000"/>
            </w:tcBorders>
          </w:tcPr>
          <w:p>
            <w:pPr>
              <w:pStyle w:val="TableContents"/>
              <w:jc w:val="left"/>
              <w:rPr/>
            </w:pPr>
            <w:r>
              <w:rPr/>
              <w:t>24.5</w:t>
            </w:r>
          </w:p>
        </w:tc>
        <w:tc>
          <w:tcPr>
            <w:tcW w:w="1928" w:type="dxa"/>
            <w:tcBorders>
              <w:left w:val="single" w:sz="4" w:space="0" w:color="000000"/>
              <w:bottom w:val="single" w:sz="4" w:space="0" w:color="000000"/>
            </w:tcBorders>
          </w:tcPr>
          <w:p>
            <w:pPr>
              <w:pStyle w:val="TableContents"/>
              <w:jc w:val="left"/>
              <w:rPr/>
            </w:pPr>
            <w:r>
              <w:rPr/>
              <w:t>21.5 – 24.5</w:t>
            </w:r>
          </w:p>
        </w:tc>
        <w:tc>
          <w:tcPr>
            <w:tcW w:w="1928" w:type="dxa"/>
            <w:tcBorders>
              <w:left w:val="single" w:sz="4" w:space="0" w:color="000000"/>
              <w:bottom w:val="single" w:sz="4" w:space="0" w:color="000000"/>
              <w:right w:val="single" w:sz="4" w:space="0" w:color="000000"/>
            </w:tcBorders>
          </w:tcPr>
          <w:p>
            <w:pPr>
              <w:pStyle w:val="TableContents"/>
              <w:jc w:val="left"/>
              <w:rPr/>
            </w:pPr>
            <w:r>
              <w:rPr/>
              <w:t>85–92</w:t>
            </w:r>
          </w:p>
        </w:tc>
      </w:tr>
      <w:tr>
        <w:trPr/>
        <w:tc>
          <w:tcPr>
            <w:tcW w:w="1927" w:type="dxa"/>
            <w:tcBorders>
              <w:left w:val="single" w:sz="4" w:space="0" w:color="000000"/>
              <w:bottom w:val="single" w:sz="4" w:space="0" w:color="000000"/>
            </w:tcBorders>
          </w:tcPr>
          <w:p>
            <w:pPr>
              <w:pStyle w:val="TableContents"/>
              <w:jc w:val="left"/>
              <w:rPr/>
            </w:pPr>
            <w:r>
              <w:rPr/>
              <w:t>HD2967</w:t>
            </w:r>
          </w:p>
        </w:tc>
        <w:tc>
          <w:tcPr>
            <w:tcW w:w="1928" w:type="dxa"/>
            <w:tcBorders>
              <w:left w:val="single" w:sz="4" w:space="0" w:color="000000"/>
              <w:bottom w:val="single" w:sz="4" w:space="0" w:color="000000"/>
            </w:tcBorders>
          </w:tcPr>
          <w:p>
            <w:pPr>
              <w:pStyle w:val="TableContents"/>
              <w:jc w:val="left"/>
              <w:rPr/>
            </w:pPr>
            <w:r>
              <w:rPr/>
              <w:t>82</w:t>
            </w:r>
          </w:p>
        </w:tc>
        <w:tc>
          <w:tcPr>
            <w:tcW w:w="1927" w:type="dxa"/>
            <w:tcBorders>
              <w:left w:val="single" w:sz="4" w:space="0" w:color="000000"/>
              <w:bottom w:val="single" w:sz="4" w:space="0" w:color="000000"/>
            </w:tcBorders>
          </w:tcPr>
          <w:p>
            <w:pPr>
              <w:pStyle w:val="TableContents"/>
              <w:jc w:val="left"/>
              <w:rPr/>
            </w:pPr>
            <w:r>
              <w:rPr/>
              <w:t>25.0</w:t>
            </w:r>
          </w:p>
        </w:tc>
        <w:tc>
          <w:tcPr>
            <w:tcW w:w="1928" w:type="dxa"/>
            <w:tcBorders>
              <w:left w:val="single" w:sz="4" w:space="0" w:color="000000"/>
              <w:bottom w:val="single" w:sz="4" w:space="0" w:color="000000"/>
            </w:tcBorders>
          </w:tcPr>
          <w:p>
            <w:pPr>
              <w:pStyle w:val="TableContents"/>
              <w:jc w:val="left"/>
              <w:rPr/>
            </w:pPr>
            <w:r>
              <w:rPr/>
              <w:t>21.5 – 23.8</w:t>
            </w:r>
          </w:p>
        </w:tc>
        <w:tc>
          <w:tcPr>
            <w:tcW w:w="1928" w:type="dxa"/>
            <w:tcBorders>
              <w:left w:val="single" w:sz="4" w:space="0" w:color="000000"/>
              <w:bottom w:val="single" w:sz="4" w:space="0" w:color="000000"/>
              <w:right w:val="single" w:sz="4" w:space="0" w:color="000000"/>
            </w:tcBorders>
          </w:tcPr>
          <w:p>
            <w:pPr>
              <w:pStyle w:val="TableContents"/>
              <w:jc w:val="left"/>
              <w:rPr/>
            </w:pPr>
            <w:r>
              <w:rPr/>
              <w:t>85–95</w:t>
            </w:r>
          </w:p>
        </w:tc>
      </w:tr>
      <w:tr>
        <w:trPr/>
        <w:tc>
          <w:tcPr>
            <w:tcW w:w="1927" w:type="dxa"/>
            <w:tcBorders>
              <w:left w:val="single" w:sz="4" w:space="0" w:color="000000"/>
              <w:bottom w:val="single" w:sz="4" w:space="0" w:color="000000"/>
            </w:tcBorders>
          </w:tcPr>
          <w:p>
            <w:pPr>
              <w:pStyle w:val="TableContents"/>
              <w:jc w:val="left"/>
              <w:rPr/>
            </w:pPr>
            <w:r>
              <w:rPr/>
              <w:t>PBW725</w:t>
            </w:r>
          </w:p>
        </w:tc>
        <w:tc>
          <w:tcPr>
            <w:tcW w:w="1928" w:type="dxa"/>
            <w:tcBorders>
              <w:left w:val="single" w:sz="4" w:space="0" w:color="000000"/>
              <w:bottom w:val="single" w:sz="4" w:space="0" w:color="000000"/>
            </w:tcBorders>
          </w:tcPr>
          <w:p>
            <w:pPr>
              <w:pStyle w:val="TableContents"/>
              <w:jc w:val="left"/>
              <w:rPr/>
            </w:pPr>
            <w:r>
              <w:rPr/>
              <w:t>5</w:t>
            </w:r>
          </w:p>
        </w:tc>
        <w:tc>
          <w:tcPr>
            <w:tcW w:w="1927" w:type="dxa"/>
            <w:tcBorders>
              <w:left w:val="single" w:sz="4" w:space="0" w:color="000000"/>
              <w:bottom w:val="single" w:sz="4" w:space="0" w:color="000000"/>
            </w:tcBorders>
          </w:tcPr>
          <w:p>
            <w:pPr>
              <w:pStyle w:val="TableContents"/>
              <w:jc w:val="left"/>
              <w:rPr/>
            </w:pPr>
            <w:r>
              <w:rPr/>
              <w:t>23.8</w:t>
            </w:r>
          </w:p>
        </w:tc>
        <w:tc>
          <w:tcPr>
            <w:tcW w:w="1928" w:type="dxa"/>
            <w:tcBorders>
              <w:left w:val="single" w:sz="4" w:space="0" w:color="000000"/>
              <w:bottom w:val="single" w:sz="4" w:space="0" w:color="000000"/>
            </w:tcBorders>
          </w:tcPr>
          <w:p>
            <w:pPr>
              <w:pStyle w:val="TableContents"/>
              <w:jc w:val="left"/>
              <w:rPr/>
            </w:pPr>
            <w:r>
              <w:rPr/>
              <w:t>22.5 – 23.8</w:t>
            </w:r>
          </w:p>
        </w:tc>
        <w:tc>
          <w:tcPr>
            <w:tcW w:w="1928" w:type="dxa"/>
            <w:tcBorders>
              <w:left w:val="single" w:sz="4" w:space="0" w:color="000000"/>
              <w:bottom w:val="single" w:sz="4" w:space="0" w:color="000000"/>
              <w:right w:val="single" w:sz="4" w:space="0" w:color="000000"/>
            </w:tcBorders>
          </w:tcPr>
          <w:p>
            <w:pPr>
              <w:pStyle w:val="TableContents"/>
              <w:jc w:val="left"/>
              <w:rPr/>
            </w:pPr>
            <w:r>
              <w:rPr/>
              <w:t>85–92</w:t>
            </w:r>
          </w:p>
        </w:tc>
      </w:tr>
      <w:tr>
        <w:trPr/>
        <w:tc>
          <w:tcPr>
            <w:tcW w:w="1927" w:type="dxa"/>
            <w:tcBorders>
              <w:left w:val="single" w:sz="4" w:space="0" w:color="000000"/>
              <w:bottom w:val="single" w:sz="4" w:space="0" w:color="000000"/>
            </w:tcBorders>
          </w:tcPr>
          <w:p>
            <w:pPr>
              <w:pStyle w:val="TableContents"/>
              <w:jc w:val="left"/>
              <w:rPr/>
            </w:pPr>
            <w:r>
              <w:rPr/>
              <w:t>H3043</w:t>
            </w:r>
          </w:p>
        </w:tc>
        <w:tc>
          <w:tcPr>
            <w:tcW w:w="1928" w:type="dxa"/>
            <w:tcBorders>
              <w:left w:val="single" w:sz="4" w:space="0" w:color="000000"/>
              <w:bottom w:val="single" w:sz="4" w:space="0" w:color="000000"/>
            </w:tcBorders>
          </w:tcPr>
          <w:p>
            <w:pPr>
              <w:pStyle w:val="TableContents"/>
              <w:jc w:val="left"/>
              <w:rPr/>
            </w:pPr>
            <w:r>
              <w:rPr/>
              <w:t>3</w:t>
            </w:r>
          </w:p>
        </w:tc>
        <w:tc>
          <w:tcPr>
            <w:tcW w:w="1927" w:type="dxa"/>
            <w:tcBorders>
              <w:left w:val="single" w:sz="4" w:space="0" w:color="000000"/>
              <w:bottom w:val="single" w:sz="4" w:space="0" w:color="000000"/>
            </w:tcBorders>
          </w:tcPr>
          <w:p>
            <w:pPr>
              <w:pStyle w:val="TableContents"/>
              <w:jc w:val="left"/>
              <w:rPr/>
            </w:pPr>
            <w:r>
              <w:rPr/>
              <w:t>22.5</w:t>
            </w:r>
          </w:p>
        </w:tc>
        <w:tc>
          <w:tcPr>
            <w:tcW w:w="1928" w:type="dxa"/>
            <w:tcBorders>
              <w:left w:val="single" w:sz="4" w:space="0" w:color="000000"/>
              <w:bottom w:val="single" w:sz="4" w:space="0" w:color="000000"/>
            </w:tcBorders>
          </w:tcPr>
          <w:p>
            <w:pPr>
              <w:pStyle w:val="TableContents"/>
              <w:jc w:val="left"/>
              <w:rPr/>
            </w:pPr>
            <w:r>
              <w:rPr/>
              <w:t>17.8 – 22.5</w:t>
            </w:r>
          </w:p>
        </w:tc>
        <w:tc>
          <w:tcPr>
            <w:tcW w:w="1928" w:type="dxa"/>
            <w:tcBorders>
              <w:left w:val="single" w:sz="4" w:space="0" w:color="000000"/>
              <w:bottom w:val="single" w:sz="4" w:space="0" w:color="000000"/>
              <w:right w:val="single" w:sz="4" w:space="0" w:color="000000"/>
            </w:tcBorders>
          </w:tcPr>
          <w:p>
            <w:pPr>
              <w:pStyle w:val="TableContents"/>
              <w:jc w:val="left"/>
              <w:rPr/>
            </w:pPr>
            <w:r>
              <w:rPr/>
              <w:t>85–90</w:t>
            </w:r>
          </w:p>
        </w:tc>
      </w:tr>
      <w:tr>
        <w:trPr/>
        <w:tc>
          <w:tcPr>
            <w:tcW w:w="1927" w:type="dxa"/>
            <w:tcBorders>
              <w:left w:val="single" w:sz="4" w:space="0" w:color="000000"/>
              <w:bottom w:val="single" w:sz="4" w:space="0" w:color="000000"/>
            </w:tcBorders>
          </w:tcPr>
          <w:p>
            <w:pPr>
              <w:pStyle w:val="TableContents"/>
              <w:jc w:val="left"/>
              <w:rPr/>
            </w:pPr>
            <w:r>
              <w:rPr/>
              <w:t>Syngenta 23</w:t>
            </w:r>
          </w:p>
        </w:tc>
        <w:tc>
          <w:tcPr>
            <w:tcW w:w="1928" w:type="dxa"/>
            <w:tcBorders>
              <w:left w:val="single" w:sz="4" w:space="0" w:color="000000"/>
              <w:bottom w:val="single" w:sz="4" w:space="0" w:color="000000"/>
            </w:tcBorders>
          </w:tcPr>
          <w:p>
            <w:pPr>
              <w:pStyle w:val="TableContents"/>
              <w:jc w:val="left"/>
              <w:rPr/>
            </w:pPr>
            <w:r>
              <w:rPr/>
              <w:t>2</w:t>
            </w:r>
          </w:p>
        </w:tc>
        <w:tc>
          <w:tcPr>
            <w:tcW w:w="1927" w:type="dxa"/>
            <w:tcBorders>
              <w:left w:val="single" w:sz="4" w:space="0" w:color="000000"/>
              <w:bottom w:val="single" w:sz="4" w:space="0" w:color="000000"/>
            </w:tcBorders>
          </w:tcPr>
          <w:p>
            <w:pPr>
              <w:pStyle w:val="TableContents"/>
              <w:jc w:val="left"/>
              <w:rPr/>
            </w:pPr>
            <w:r>
              <w:rPr/>
              <w:t>22.5</w:t>
            </w:r>
          </w:p>
        </w:tc>
        <w:tc>
          <w:tcPr>
            <w:tcW w:w="1928" w:type="dxa"/>
            <w:tcBorders>
              <w:left w:val="single" w:sz="4" w:space="0" w:color="000000"/>
              <w:bottom w:val="single" w:sz="4" w:space="0" w:color="000000"/>
            </w:tcBorders>
          </w:tcPr>
          <w:p>
            <w:pPr>
              <w:pStyle w:val="TableContents"/>
              <w:jc w:val="left"/>
              <w:rPr/>
            </w:pPr>
            <w:r>
              <w:rPr/>
              <w:t>19.5 – 22.5</w:t>
            </w:r>
          </w:p>
        </w:tc>
        <w:tc>
          <w:tcPr>
            <w:tcW w:w="1928" w:type="dxa"/>
            <w:tcBorders>
              <w:left w:val="single" w:sz="4" w:space="0" w:color="000000"/>
              <w:bottom w:val="single" w:sz="4" w:space="0" w:color="000000"/>
              <w:right w:val="single" w:sz="4" w:space="0" w:color="000000"/>
            </w:tcBorders>
          </w:tcPr>
          <w:p>
            <w:pPr>
              <w:pStyle w:val="TableContents"/>
              <w:jc w:val="left"/>
              <w:rPr/>
            </w:pPr>
            <w:r>
              <w:rPr/>
              <w:t>85</w:t>
            </w:r>
          </w:p>
        </w:tc>
      </w:tr>
      <w:tr>
        <w:trPr/>
        <w:tc>
          <w:tcPr>
            <w:tcW w:w="1927" w:type="dxa"/>
            <w:tcBorders>
              <w:left w:val="single" w:sz="4" w:space="0" w:color="000000"/>
              <w:bottom w:val="single" w:sz="4" w:space="0" w:color="000000"/>
            </w:tcBorders>
          </w:tcPr>
          <w:p>
            <w:pPr>
              <w:pStyle w:val="TableContents"/>
              <w:jc w:val="left"/>
              <w:rPr/>
            </w:pPr>
            <w:r>
              <w:rPr/>
              <w:t>KRL 210</w:t>
            </w:r>
          </w:p>
        </w:tc>
        <w:tc>
          <w:tcPr>
            <w:tcW w:w="1928" w:type="dxa"/>
            <w:tcBorders>
              <w:left w:val="single" w:sz="4" w:space="0" w:color="000000"/>
              <w:bottom w:val="single" w:sz="4" w:space="0" w:color="000000"/>
            </w:tcBorders>
          </w:tcPr>
          <w:p>
            <w:pPr>
              <w:pStyle w:val="TableContents"/>
              <w:jc w:val="left"/>
              <w:rPr/>
            </w:pPr>
            <w:r>
              <w:rPr/>
              <w:t>7</w:t>
            </w:r>
          </w:p>
        </w:tc>
        <w:tc>
          <w:tcPr>
            <w:tcW w:w="1927" w:type="dxa"/>
            <w:tcBorders>
              <w:left w:val="single" w:sz="4" w:space="0" w:color="000000"/>
              <w:bottom w:val="single" w:sz="4" w:space="0" w:color="000000"/>
            </w:tcBorders>
          </w:tcPr>
          <w:p>
            <w:pPr>
              <w:pStyle w:val="TableContents"/>
              <w:jc w:val="left"/>
              <w:rPr/>
            </w:pPr>
            <w:r>
              <w:rPr/>
              <w:t>21.8</w:t>
            </w:r>
          </w:p>
        </w:tc>
        <w:tc>
          <w:tcPr>
            <w:tcW w:w="1928" w:type="dxa"/>
            <w:tcBorders>
              <w:left w:val="single" w:sz="4" w:space="0" w:color="000000"/>
              <w:bottom w:val="single" w:sz="4" w:space="0" w:color="000000"/>
            </w:tcBorders>
          </w:tcPr>
          <w:p>
            <w:pPr>
              <w:pStyle w:val="TableContents"/>
              <w:jc w:val="left"/>
              <w:rPr/>
            </w:pPr>
            <w:r>
              <w:rPr/>
              <w:t>18.5 – 21.8</w:t>
            </w:r>
          </w:p>
        </w:tc>
        <w:tc>
          <w:tcPr>
            <w:tcW w:w="1928" w:type="dxa"/>
            <w:tcBorders>
              <w:left w:val="single" w:sz="4" w:space="0" w:color="000000"/>
              <w:bottom w:val="single" w:sz="4" w:space="0" w:color="000000"/>
              <w:right w:val="single" w:sz="4" w:space="0" w:color="000000"/>
            </w:tcBorders>
          </w:tcPr>
          <w:p>
            <w:pPr>
              <w:pStyle w:val="TableContents"/>
              <w:jc w:val="left"/>
              <w:rPr/>
            </w:pPr>
            <w:r>
              <w:rPr/>
              <w:t>85–95</w:t>
            </w:r>
          </w:p>
        </w:tc>
      </w:tr>
    </w:tbl>
    <w:p>
      <w:pPr>
        <w:pStyle w:val="BodyText"/>
        <w:rPr/>
      </w:pPr>
      <w:r>
        <w:rPr/>
      </w:r>
    </w:p>
    <w:p>
      <w:pPr>
        <w:pStyle w:val="BodyText"/>
        <w:jc w:val="center"/>
        <w:rPr/>
      </w:pPr>
      <w:r>
        <w:rPr/>
        <w:t xml:space="preserve">Table </w:t>
      </w:r>
      <w:r>
        <w:rPr/>
        <w:t>5</w:t>
      </w:r>
      <w:r>
        <w:rPr/>
        <w:t>. Yield performance by variety (ordered by maximum yield)</w:t>
      </w:r>
    </w:p>
    <w:p>
      <w:pPr>
        <w:pStyle w:val="BodyText"/>
        <w:jc w:val="center"/>
        <w:rPr/>
      </w:pPr>
      <w:r>
        <w:rPr/>
        <w:t>Note: n = number of observations per variety.</w:t>
      </w:r>
    </w:p>
    <w:p>
      <w:pPr>
        <w:pStyle w:val="BodyText"/>
        <w:rPr/>
      </w:pPr>
      <w:r>
        <w:rPr/>
        <w:t>6</w:t>
      </w:r>
      <w:r>
        <w:rPr/>
        <w:t>.2.3 Statistical Comparison of Varieties</w:t>
      </w:r>
    </w:p>
    <w:p>
      <w:pPr>
        <w:pStyle w:val="BodyText"/>
        <w:rPr/>
      </w:pPr>
      <w:r>
        <w:rPr/>
        <w:t>A one-way analysis of variance (ANOVA) was performed to compare mean yields across varieties with sufficient observations (n ≥ 5: HD2967, KRL 210, PBW725, HD 3086). Significant differences were detected among varieties [F(3, 97) = 12.47, p &lt; 0.001].</w:t>
      </w:r>
    </w:p>
    <w:p>
      <w:pPr>
        <w:pStyle w:val="BodyText"/>
        <w:rPr/>
      </w:pPr>
      <w:r>
        <w:rPr/>
        <w:t>Post-hoc comparisons using Tukey's HSD test (α = 0.05) revealed the following:</w:t>
      </w:r>
    </w:p>
    <w:p>
      <w:pPr>
        <w:pStyle w:val="BodyText"/>
        <w:numPr>
          <w:ilvl w:val="0"/>
          <w:numId w:val="6"/>
        </w:numPr>
        <w:tabs>
          <w:tab w:val="clear" w:pos="11340"/>
          <w:tab w:val="left" w:pos="0" w:leader="none"/>
        </w:tabs>
        <w:ind w:hanging="283" w:left="709"/>
        <w:rPr/>
      </w:pPr>
      <w:r>
        <w:rPr/>
        <w:t>HD2967 (optimal, no lodging)  and  HD 3086  yielded significantly higher than  KRL 210  (p &lt; 0.001) and  lodging-affected HD2967  (p &lt; 0.01)</w:t>
      </w:r>
    </w:p>
    <w:p>
      <w:pPr>
        <w:pStyle w:val="BodyText"/>
        <w:numPr>
          <w:ilvl w:val="0"/>
          <w:numId w:val="6"/>
        </w:numPr>
        <w:tabs>
          <w:tab w:val="clear" w:pos="11340"/>
          <w:tab w:val="left" w:pos="0" w:leader="none"/>
        </w:tabs>
        <w:ind w:hanging="283" w:left="709"/>
        <w:rPr/>
      </w:pPr>
      <w:r>
        <w:rPr/>
        <w:t>PBW725  performed intermediately, not significantly different from optimal HD2967 (p = 0.12) or HD 3086 (p = 0.08)</w:t>
      </w:r>
    </w:p>
    <w:p>
      <w:pPr>
        <w:pStyle w:val="BodyText"/>
        <w:numPr>
          <w:ilvl w:val="0"/>
          <w:numId w:val="6"/>
        </w:numPr>
        <w:tabs>
          <w:tab w:val="clear" w:pos="11340"/>
          <w:tab w:val="left" w:pos="0" w:leader="none"/>
        </w:tabs>
        <w:ind w:hanging="283" w:left="709"/>
        <w:rPr/>
      </w:pPr>
      <w:r>
        <w:rPr/>
        <w:t>KRL 210  yielded significantly lower than all other varieties except lodging-affected HD2967 (p = 0.06)</w:t>
      </w:r>
    </w:p>
    <w:p>
      <w:pPr>
        <w:pStyle w:val="BodyText"/>
        <w:rPr/>
      </w:pPr>
      <w:r>
        <w:rPr/>
        <w:t>These results indicate that variety selection alone explains approximately 28% of yield variation (η² = 0.28), with lodging stress accounting for additional within-variety variation.</w:t>
      </w:r>
    </w:p>
    <w:p>
      <w:pPr>
        <w:pStyle w:val="BodyText"/>
        <w:rPr/>
      </w:pPr>
      <w:r>
        <w:rPr/>
        <w:t>6</w:t>
      </w:r>
      <w:r>
        <w:rPr/>
        <w:t>.3 Factors Affecting Yield Estimation</w:t>
      </w:r>
    </w:p>
    <w:p>
      <w:pPr>
        <w:pStyle w:val="BodyText"/>
        <w:rPr/>
      </w:pPr>
      <w:r>
        <w:rPr/>
        <w:t>6</w:t>
      </w:r>
      <w:r>
        <w:rPr/>
        <w:t>.3.1 Lodging: The Primary Yield Constraint</w:t>
      </w:r>
    </w:p>
    <w:p>
      <w:pPr>
        <w:pStyle w:val="BodyText"/>
        <w:rPr/>
      </w:pPr>
      <w:r>
        <w:rPr/>
      </w:r>
    </w:p>
    <w:p>
      <w:pPr>
        <w:pStyle w:val="BodyText"/>
        <w:rPr/>
      </w:pPr>
      <w:r>
        <w:rPr/>
        <w:t xml:space="preserve">Lodging  emerged as the most significant yield-reducing factor, mentioned in 41 of 118 observations (34.7%). The impact of lodging on estimated yield followed a consistent, severity-dependent pattern (Table </w:t>
      </w:r>
      <w:r>
        <w:rPr/>
        <w:t>6</w:t>
      </w:r>
      <w:r>
        <w:rPr/>
        <w:t>).</w:t>
      </w:r>
    </w:p>
    <w:p>
      <w:pPr>
        <w:pStyle w:val="BodyText"/>
        <w:rPr/>
      </w:pPr>
      <w:r>
        <w:rPr/>
      </w:r>
    </w:p>
    <w:tbl>
      <w:tblPr>
        <w:tblW w:w="5000" w:type="pct"/>
        <w:jc w:val="left"/>
        <w:tblInd w:w="55" w:type="dxa"/>
        <w:tblLayout w:type="fixed"/>
        <w:tblCellMar>
          <w:top w:w="55" w:type="dxa"/>
          <w:left w:w="55" w:type="dxa"/>
          <w:bottom w:w="55" w:type="dxa"/>
          <w:right w:w="55" w:type="dxa"/>
        </w:tblCellMar>
      </w:tblPr>
      <w:tblGrid>
        <w:gridCol w:w="1927"/>
        <w:gridCol w:w="1928"/>
        <w:gridCol w:w="1927"/>
        <w:gridCol w:w="1928"/>
        <w:gridCol w:w="1928"/>
      </w:tblGrid>
      <w:tr>
        <w:trPr>
          <w:tblHeader w:val="true"/>
        </w:trPr>
        <w:tc>
          <w:tcPr>
            <w:tcW w:w="1927" w:type="dxa"/>
            <w:tcBorders>
              <w:top w:val="single" w:sz="4" w:space="0" w:color="000000"/>
              <w:left w:val="single" w:sz="4" w:space="0" w:color="000000"/>
              <w:bottom w:val="single" w:sz="4" w:space="0" w:color="000000"/>
            </w:tcBorders>
          </w:tcPr>
          <w:p>
            <w:pPr>
              <w:pStyle w:val="TableHeading"/>
              <w:jc w:val="left"/>
              <w:rPr/>
            </w:pPr>
            <w:r>
              <w:rPr/>
              <w:t>Lodging severity</w:t>
            </w:r>
          </w:p>
        </w:tc>
        <w:tc>
          <w:tcPr>
            <w:tcW w:w="1928" w:type="dxa"/>
            <w:tcBorders>
              <w:top w:val="single" w:sz="4" w:space="0" w:color="000000"/>
              <w:left w:val="single" w:sz="4" w:space="0" w:color="000000"/>
              <w:bottom w:val="single" w:sz="4" w:space="0" w:color="000000"/>
            </w:tcBorders>
          </w:tcPr>
          <w:p>
            <w:pPr>
              <w:pStyle w:val="TableHeading"/>
              <w:jc w:val="left"/>
              <w:rPr/>
            </w:pPr>
            <w:r>
              <w:rPr/>
              <w:t>Description</w:t>
            </w:r>
          </w:p>
        </w:tc>
        <w:tc>
          <w:tcPr>
            <w:tcW w:w="1927" w:type="dxa"/>
            <w:tcBorders>
              <w:top w:val="single" w:sz="4" w:space="0" w:color="000000"/>
              <w:left w:val="single" w:sz="4" w:space="0" w:color="000000"/>
              <w:bottom w:val="single" w:sz="4" w:space="0" w:color="000000"/>
            </w:tcBorders>
          </w:tcPr>
          <w:p>
            <w:pPr>
              <w:pStyle w:val="TableHeading"/>
              <w:jc w:val="left"/>
              <w:rPr/>
            </w:pPr>
            <w:r>
              <w:rPr/>
              <w:t>Baseline yield (q/acre)</w:t>
            </w:r>
          </w:p>
        </w:tc>
        <w:tc>
          <w:tcPr>
            <w:tcW w:w="1928" w:type="dxa"/>
            <w:tcBorders>
              <w:top w:val="single" w:sz="4" w:space="0" w:color="000000"/>
              <w:left w:val="single" w:sz="4" w:space="0" w:color="000000"/>
              <w:bottom w:val="single" w:sz="4" w:space="0" w:color="000000"/>
            </w:tcBorders>
          </w:tcPr>
          <w:p>
            <w:pPr>
              <w:pStyle w:val="TableHeading"/>
              <w:jc w:val="left"/>
              <w:rPr/>
            </w:pPr>
            <w:r>
              <w:rPr/>
              <w:t>Estimated yield (q/acre)</w:t>
            </w:r>
          </w:p>
        </w:tc>
        <w:tc>
          <w:tcPr>
            <w:tcW w:w="1928" w:type="dxa"/>
            <w:tcBorders>
              <w:top w:val="single" w:sz="4" w:space="0" w:color="000000"/>
              <w:left w:val="single" w:sz="4" w:space="0" w:color="000000"/>
              <w:bottom w:val="single" w:sz="4" w:space="0" w:color="000000"/>
              <w:right w:val="single" w:sz="4" w:space="0" w:color="000000"/>
            </w:tcBorders>
          </w:tcPr>
          <w:p>
            <w:pPr>
              <w:pStyle w:val="TableHeading"/>
              <w:jc w:val="left"/>
              <w:rPr/>
            </w:pPr>
            <w:r>
              <w:rPr/>
              <w:t>Reduction (%)</w:t>
            </w:r>
          </w:p>
        </w:tc>
      </w:tr>
      <w:tr>
        <w:trPr/>
        <w:tc>
          <w:tcPr>
            <w:tcW w:w="1927" w:type="dxa"/>
            <w:tcBorders>
              <w:left w:val="single" w:sz="4" w:space="0" w:color="000000"/>
              <w:bottom w:val="single" w:sz="4" w:space="0" w:color="000000"/>
            </w:tcBorders>
          </w:tcPr>
          <w:p>
            <w:pPr>
              <w:pStyle w:val="TableContents"/>
              <w:jc w:val="left"/>
              <w:rPr/>
            </w:pPr>
            <w:r>
              <w:rPr/>
              <w:t>None</w:t>
            </w:r>
          </w:p>
        </w:tc>
        <w:tc>
          <w:tcPr>
            <w:tcW w:w="1928" w:type="dxa"/>
            <w:tcBorders>
              <w:left w:val="single" w:sz="4" w:space="0" w:color="000000"/>
              <w:bottom w:val="single" w:sz="4" w:space="0" w:color="000000"/>
            </w:tcBorders>
          </w:tcPr>
          <w:p>
            <w:pPr>
              <w:pStyle w:val="TableContents"/>
              <w:jc w:val="left"/>
              <w:rPr/>
            </w:pPr>
            <w:r>
              <w:rPr/>
              <w:t>Uniform stand, no lodging</w:t>
            </w:r>
          </w:p>
        </w:tc>
        <w:tc>
          <w:tcPr>
            <w:tcW w:w="1927" w:type="dxa"/>
            <w:tcBorders>
              <w:left w:val="single" w:sz="4" w:space="0" w:color="000000"/>
              <w:bottom w:val="single" w:sz="4" w:space="0" w:color="000000"/>
            </w:tcBorders>
          </w:tcPr>
          <w:p>
            <w:pPr>
              <w:pStyle w:val="TableContents"/>
              <w:jc w:val="left"/>
              <w:rPr/>
            </w:pPr>
            <w:r>
              <w:rPr/>
              <w:t>22.5</w:t>
            </w:r>
          </w:p>
        </w:tc>
        <w:tc>
          <w:tcPr>
            <w:tcW w:w="1928" w:type="dxa"/>
            <w:tcBorders>
              <w:left w:val="single" w:sz="4" w:space="0" w:color="000000"/>
              <w:bottom w:val="single" w:sz="4" w:space="0" w:color="000000"/>
            </w:tcBorders>
          </w:tcPr>
          <w:p>
            <w:pPr>
              <w:pStyle w:val="TableContents"/>
              <w:jc w:val="left"/>
              <w:rPr/>
            </w:pPr>
            <w:r>
              <w:rPr/>
              <w:t>23.5 – 24.2</w:t>
            </w:r>
          </w:p>
        </w:tc>
        <w:tc>
          <w:tcPr>
            <w:tcW w:w="1928" w:type="dxa"/>
            <w:tcBorders>
              <w:left w:val="single" w:sz="4" w:space="0" w:color="000000"/>
              <w:bottom w:val="single" w:sz="4" w:space="0" w:color="000000"/>
              <w:right w:val="single" w:sz="4" w:space="0" w:color="000000"/>
            </w:tcBorders>
          </w:tcPr>
          <w:p>
            <w:pPr>
              <w:pStyle w:val="TableContents"/>
              <w:jc w:val="left"/>
              <w:rPr/>
            </w:pPr>
            <w:r>
              <w:rPr/>
              <w:t>+4 to +8*</w:t>
            </w:r>
          </w:p>
        </w:tc>
      </w:tr>
      <w:tr>
        <w:trPr/>
        <w:tc>
          <w:tcPr>
            <w:tcW w:w="1927" w:type="dxa"/>
            <w:tcBorders>
              <w:left w:val="single" w:sz="4" w:space="0" w:color="000000"/>
              <w:bottom w:val="single" w:sz="4" w:space="0" w:color="000000"/>
            </w:tcBorders>
          </w:tcPr>
          <w:p>
            <w:pPr>
              <w:pStyle w:val="TableContents"/>
              <w:jc w:val="left"/>
              <w:rPr/>
            </w:pPr>
            <w:r>
              <w:rPr/>
              <w:t>Minor</w:t>
            </w:r>
          </w:p>
        </w:tc>
        <w:tc>
          <w:tcPr>
            <w:tcW w:w="1928" w:type="dxa"/>
            <w:tcBorders>
              <w:left w:val="single" w:sz="4" w:space="0" w:color="000000"/>
              <w:bottom w:val="single" w:sz="4" w:space="0" w:color="000000"/>
            </w:tcBorders>
          </w:tcPr>
          <w:p>
            <w:pPr>
              <w:pStyle w:val="TableContents"/>
              <w:jc w:val="left"/>
              <w:rPr/>
            </w:pPr>
            <w:r>
              <w:rPr/>
              <w:t>Localized, late-season</w:t>
            </w:r>
          </w:p>
        </w:tc>
        <w:tc>
          <w:tcPr>
            <w:tcW w:w="1927" w:type="dxa"/>
            <w:tcBorders>
              <w:left w:val="single" w:sz="4" w:space="0" w:color="000000"/>
              <w:bottom w:val="single" w:sz="4" w:space="0" w:color="000000"/>
            </w:tcBorders>
          </w:tcPr>
          <w:p>
            <w:pPr>
              <w:pStyle w:val="TableContents"/>
              <w:jc w:val="left"/>
              <w:rPr/>
            </w:pPr>
            <w:r>
              <w:rPr/>
              <w:t>22.5</w:t>
            </w:r>
          </w:p>
        </w:tc>
        <w:tc>
          <w:tcPr>
            <w:tcW w:w="1928" w:type="dxa"/>
            <w:tcBorders>
              <w:left w:val="single" w:sz="4" w:space="0" w:color="000000"/>
              <w:bottom w:val="single" w:sz="4" w:space="0" w:color="000000"/>
            </w:tcBorders>
          </w:tcPr>
          <w:p>
            <w:pPr>
              <w:pStyle w:val="TableContents"/>
              <w:jc w:val="left"/>
              <w:rPr/>
            </w:pPr>
            <w:r>
              <w:rPr/>
              <w:t>21.5 – 22.5</w:t>
            </w:r>
          </w:p>
        </w:tc>
        <w:tc>
          <w:tcPr>
            <w:tcW w:w="1928" w:type="dxa"/>
            <w:tcBorders>
              <w:left w:val="single" w:sz="4" w:space="0" w:color="000000"/>
              <w:bottom w:val="single" w:sz="4" w:space="0" w:color="000000"/>
              <w:right w:val="single" w:sz="4" w:space="0" w:color="000000"/>
            </w:tcBorders>
          </w:tcPr>
          <w:p>
            <w:pPr>
              <w:pStyle w:val="TableContents"/>
              <w:jc w:val="left"/>
              <w:rPr/>
            </w:pPr>
            <w:r>
              <w:rPr/>
              <w:t>0–4</w:t>
            </w:r>
          </w:p>
        </w:tc>
      </w:tr>
      <w:tr>
        <w:trPr/>
        <w:tc>
          <w:tcPr>
            <w:tcW w:w="1927" w:type="dxa"/>
            <w:tcBorders>
              <w:left w:val="single" w:sz="4" w:space="0" w:color="000000"/>
              <w:bottom w:val="single" w:sz="4" w:space="0" w:color="000000"/>
            </w:tcBorders>
          </w:tcPr>
          <w:p>
            <w:pPr>
              <w:pStyle w:val="TableContents"/>
              <w:jc w:val="left"/>
              <w:rPr/>
            </w:pPr>
            <w:r>
              <w:rPr/>
              <w:t>Moderate</w:t>
            </w:r>
          </w:p>
        </w:tc>
        <w:tc>
          <w:tcPr>
            <w:tcW w:w="1928" w:type="dxa"/>
            <w:tcBorders>
              <w:left w:val="single" w:sz="4" w:space="0" w:color="000000"/>
              <w:bottom w:val="single" w:sz="4" w:space="0" w:color="000000"/>
            </w:tcBorders>
          </w:tcPr>
          <w:p>
            <w:pPr>
              <w:pStyle w:val="TableContents"/>
              <w:jc w:val="left"/>
              <w:rPr/>
            </w:pPr>
            <w:r>
              <w:rPr/>
              <w:t>Widespread at maturity</w:t>
            </w:r>
          </w:p>
        </w:tc>
        <w:tc>
          <w:tcPr>
            <w:tcW w:w="1927" w:type="dxa"/>
            <w:tcBorders>
              <w:left w:val="single" w:sz="4" w:space="0" w:color="000000"/>
              <w:bottom w:val="single" w:sz="4" w:space="0" w:color="000000"/>
            </w:tcBorders>
          </w:tcPr>
          <w:p>
            <w:pPr>
              <w:pStyle w:val="TableContents"/>
              <w:jc w:val="left"/>
              <w:rPr/>
            </w:pPr>
            <w:r>
              <w:rPr/>
              <w:t>22.5</w:t>
            </w:r>
          </w:p>
        </w:tc>
        <w:tc>
          <w:tcPr>
            <w:tcW w:w="1928" w:type="dxa"/>
            <w:tcBorders>
              <w:left w:val="single" w:sz="4" w:space="0" w:color="000000"/>
              <w:bottom w:val="single" w:sz="4" w:space="0" w:color="000000"/>
            </w:tcBorders>
          </w:tcPr>
          <w:p>
            <w:pPr>
              <w:pStyle w:val="TableContents"/>
              <w:jc w:val="left"/>
              <w:rPr/>
            </w:pPr>
            <w:r>
              <w:rPr/>
              <w:t>18.5 – 19.5</w:t>
            </w:r>
          </w:p>
        </w:tc>
        <w:tc>
          <w:tcPr>
            <w:tcW w:w="1928" w:type="dxa"/>
            <w:tcBorders>
              <w:left w:val="single" w:sz="4" w:space="0" w:color="000000"/>
              <w:bottom w:val="single" w:sz="4" w:space="0" w:color="000000"/>
              <w:right w:val="single" w:sz="4" w:space="0" w:color="000000"/>
            </w:tcBorders>
          </w:tcPr>
          <w:p>
            <w:pPr>
              <w:pStyle w:val="TableContents"/>
              <w:jc w:val="left"/>
              <w:rPr/>
            </w:pPr>
            <w:r>
              <w:rPr/>
              <w:t>13–18</w:t>
            </w:r>
          </w:p>
        </w:tc>
      </w:tr>
      <w:tr>
        <w:trPr/>
        <w:tc>
          <w:tcPr>
            <w:tcW w:w="1927" w:type="dxa"/>
            <w:tcBorders>
              <w:left w:val="single" w:sz="4" w:space="0" w:color="000000"/>
              <w:bottom w:val="single" w:sz="4" w:space="0" w:color="000000"/>
            </w:tcBorders>
          </w:tcPr>
          <w:p>
            <w:pPr>
              <w:pStyle w:val="TableContents"/>
              <w:jc w:val="left"/>
              <w:rPr/>
            </w:pPr>
            <w:r>
              <w:rPr/>
              <w:t>Severe</w:t>
            </w:r>
          </w:p>
        </w:tc>
        <w:tc>
          <w:tcPr>
            <w:tcW w:w="1928" w:type="dxa"/>
            <w:tcBorders>
              <w:left w:val="single" w:sz="4" w:space="0" w:color="000000"/>
              <w:bottom w:val="single" w:sz="4" w:space="0" w:color="000000"/>
            </w:tcBorders>
          </w:tcPr>
          <w:p>
            <w:pPr>
              <w:pStyle w:val="TableContents"/>
              <w:jc w:val="left"/>
              <w:rPr/>
            </w:pPr>
            <w:r>
              <w:rPr/>
              <w:t>Pre-grain fill, extensive</w:t>
            </w:r>
          </w:p>
        </w:tc>
        <w:tc>
          <w:tcPr>
            <w:tcW w:w="1927" w:type="dxa"/>
            <w:tcBorders>
              <w:left w:val="single" w:sz="4" w:space="0" w:color="000000"/>
              <w:bottom w:val="single" w:sz="4" w:space="0" w:color="000000"/>
            </w:tcBorders>
          </w:tcPr>
          <w:p>
            <w:pPr>
              <w:pStyle w:val="TableContents"/>
              <w:jc w:val="left"/>
              <w:rPr/>
            </w:pPr>
            <w:r>
              <w:rPr/>
              <w:t>22.5</w:t>
            </w:r>
          </w:p>
        </w:tc>
        <w:tc>
          <w:tcPr>
            <w:tcW w:w="1928" w:type="dxa"/>
            <w:tcBorders>
              <w:left w:val="single" w:sz="4" w:space="0" w:color="000000"/>
              <w:bottom w:val="single" w:sz="4" w:space="0" w:color="000000"/>
            </w:tcBorders>
          </w:tcPr>
          <w:p>
            <w:pPr>
              <w:pStyle w:val="TableContents"/>
              <w:jc w:val="left"/>
              <w:rPr/>
            </w:pPr>
            <w:r>
              <w:rPr/>
              <w:t>14.5 – 16.5</w:t>
            </w:r>
          </w:p>
        </w:tc>
        <w:tc>
          <w:tcPr>
            <w:tcW w:w="1928" w:type="dxa"/>
            <w:tcBorders>
              <w:left w:val="single" w:sz="4" w:space="0" w:color="000000"/>
              <w:bottom w:val="single" w:sz="4" w:space="0" w:color="000000"/>
              <w:right w:val="single" w:sz="4" w:space="0" w:color="000000"/>
            </w:tcBorders>
          </w:tcPr>
          <w:p>
            <w:pPr>
              <w:pStyle w:val="TableContents"/>
              <w:jc w:val="left"/>
              <w:rPr/>
            </w:pPr>
            <w:r>
              <w:rPr/>
              <w:t>27–36</w:t>
            </w:r>
          </w:p>
        </w:tc>
      </w:tr>
    </w:tbl>
    <w:p>
      <w:pPr>
        <w:pStyle w:val="BodyText"/>
        <w:rPr/>
      </w:pPr>
      <w:r>
        <w:rPr/>
      </w:r>
    </w:p>
    <w:p>
      <w:pPr>
        <w:pStyle w:val="BodyText"/>
        <w:jc w:val="center"/>
        <w:rPr/>
      </w:pPr>
      <w:r>
        <w:rPr/>
        <w:t xml:space="preserve">Table </w:t>
      </w:r>
      <w:r>
        <w:rPr/>
        <w:t>6</w:t>
      </w:r>
      <w:r>
        <w:rPr/>
        <w:t>. Impact of lodging severity on estimated yield (based on HD2967 observations)</w:t>
      </w:r>
    </w:p>
    <w:p>
      <w:pPr>
        <w:pStyle w:val="BodyText"/>
        <w:rPr/>
      </w:pPr>
      <w:r>
        <w:rPr/>
        <w:t>Positive adjustment for superior conditions without lodging.</w:t>
      </w:r>
    </w:p>
    <w:p>
      <w:pPr>
        <w:pStyle w:val="BodyText"/>
        <w:rPr/>
      </w:pPr>
      <w:r>
        <w:rPr/>
        <w:t>The mechanistic basis for these reductions is well-documented in literature. Lodging disrupts vascular transport, reduces photosynthetic capacity of shaded leaves, and accelerates senescence, leading to incomplete grain filling (Berry et al., 2004; Piñera-Chavez et al., 2016). In the present study, lodging that occurred  before or during early grain filling  (classified as "severe") resulted in yield penalties of 27–36%, consistent with previously reported losses of 20–40% for spring wheat (Tripathi et al., 2004).</w:t>
      </w:r>
    </w:p>
    <w:p>
      <w:pPr>
        <w:pStyle w:val="BodyText"/>
        <w:rPr/>
      </w:pPr>
      <w:r>
        <w:rPr/>
        <w:t>Notably, even  minor lodging  at maturity (after grain filling was largely complete) resulted in 0–4% reduction, primarily attributable to harvest losses rather than impaired grain development. This distinction is important for practical management: late-season lodging events may be less economically damaging than mid-season lodging, though harvest efficiency remains compromised.</w:t>
      </w:r>
    </w:p>
    <w:p>
      <w:pPr>
        <w:pStyle w:val="BodyText"/>
        <w:rPr/>
      </w:pPr>
      <w:r>
        <w:rPr/>
        <w:t>Case example – KRL 210:  One observation of KRL 210 with severe lodging yielded only 14.5 q/acre compared to 19.5–21.8 q/acre for non-lodged or minor-lodged fields of the same variety, representing a 26–33% penalty. This confirms that even lodging-tolerant varieties suffer substantial losses under extreme conditions.</w:t>
      </w:r>
    </w:p>
    <w:p>
      <w:pPr>
        <w:pStyle w:val="BodyText"/>
        <w:rPr/>
      </w:pPr>
      <w:r>
        <w:rPr/>
        <w:t>6</w:t>
      </w:r>
      <w:r>
        <w:rPr/>
        <w:t>.3.2 Other Yield-Limiting Factors</w:t>
      </w:r>
    </w:p>
    <w:p>
      <w:pPr>
        <w:pStyle w:val="BodyText"/>
        <w:rPr/>
      </w:pPr>
      <w:r>
        <w:rPr/>
        <w:t xml:space="preserve">Weed competition  (primarily mustard flowers, </w:t>
      </w:r>
      <w:r>
        <w:rPr>
          <w:i/>
        </w:rPr>
        <w:t>Brassica</w:t>
      </w:r>
      <w:r>
        <w:rPr/>
        <w:t xml:space="preserve"> spp.) was noted in 8 observations (6.8%). Affected fields showed localized canopy gaps and reduced spike density, with estimated yield penalties of approximately 5% compared to weed-free stands. No fields required complete yield exclusion due to weed pressure alone.</w:t>
      </w:r>
    </w:p>
    <w:p>
      <w:pPr>
        <w:pStyle w:val="BodyText"/>
        <w:rPr/>
      </w:pPr>
      <w:r>
        <w:rPr/>
        <w:t>Waterlogging  was observed in 4 fields (3.4%), consistently at field edges or low-lying areas. The impact was localized and did not significantly affect overall field-level yield estimates. However, one case combining waterlogging with lodging resulted in a 22% estimated penalty.</w:t>
      </w:r>
    </w:p>
    <w:p>
      <w:pPr>
        <w:pStyle w:val="BodyText"/>
        <w:rPr/>
      </w:pPr>
      <w:r>
        <w:rPr/>
        <w:t>Fog and high humidity  were reported in 27 observations (22.9%), primarily during early growth stages (December–January). These conditions were described as "typical for the region" and "generally beneficial for early wheat development." No direct yield reduction was attributed to fog; however, the increased risk of yellow rust (</w:t>
      </w:r>
      <w:r>
        <w:rPr>
          <w:i/>
        </w:rPr>
        <w:t>Puccinia striiformis</w:t>
      </w:r>
      <w:r>
        <w:rPr/>
        <w:t>) was noted in three observations. Visible yellow rust symptoms were not observed in any field, suggesting effective disease management or unfavorable conditions for rust development during the study period.</w:t>
      </w:r>
    </w:p>
    <w:p>
      <w:pPr>
        <w:pStyle w:val="BodyText"/>
        <w:rPr/>
      </w:pPr>
      <w:r>
        <w:rPr/>
        <w:t>Pest infestation and nutrient deficiency  were not visually detected in any observation, indicating generally good crop management and favorable growing conditions across the study region.</w:t>
      </w:r>
    </w:p>
    <w:p>
      <w:pPr>
        <w:pStyle w:val="BodyText"/>
        <w:rPr/>
      </w:pPr>
      <w:r>
        <w:rPr/>
        <w:t>6</w:t>
      </w:r>
      <w:r>
        <w:rPr/>
        <w:t>.4 Confidence in Yield Estimates</w:t>
      </w:r>
    </w:p>
    <w:p>
      <w:pPr>
        <w:pStyle w:val="BodyText"/>
        <w:rPr/>
      </w:pPr>
      <w:r>
        <w:rPr/>
        <w:t>6</w:t>
      </w:r>
      <w:r>
        <w:rPr/>
        <w:t>.4.1 Distribution of Confidence Scores</w:t>
      </w:r>
    </w:p>
    <w:p>
      <w:pPr>
        <w:pStyle w:val="BodyText"/>
        <w:rPr/>
      </w:pPr>
      <w:r>
        <w:rPr/>
        <w:t xml:space="preserve">Confidence scores, assigned by field observers based on image quality, phenological completeness, and anomaly detection, ranged from 70% to 95%. The majority of observations (84.7%) had confidence ≥85%, indicating reliable yield estimates (Table </w:t>
      </w:r>
      <w:r>
        <w:rPr/>
        <w:t>7</w:t>
      </w:r>
      <w:r>
        <w:rPr/>
        <w:t>). </w:t>
      </w:r>
    </w:p>
    <w:tbl>
      <w:tblPr>
        <w:tblW w:w="5000" w:type="pct"/>
        <w:jc w:val="left"/>
        <w:tblInd w:w="55" w:type="dxa"/>
        <w:tblLayout w:type="fixed"/>
        <w:tblCellMar>
          <w:top w:w="55" w:type="dxa"/>
          <w:left w:w="55" w:type="dxa"/>
          <w:bottom w:w="55" w:type="dxa"/>
          <w:right w:w="55" w:type="dxa"/>
        </w:tblCellMar>
      </w:tblPr>
      <w:tblGrid>
        <w:gridCol w:w="2409"/>
        <w:gridCol w:w="2410"/>
        <w:gridCol w:w="2409"/>
        <w:gridCol w:w="2410"/>
      </w:tblGrid>
      <w:tr>
        <w:trPr>
          <w:tblHeader w:val="true"/>
        </w:trPr>
        <w:tc>
          <w:tcPr>
            <w:tcW w:w="2409" w:type="dxa"/>
            <w:tcBorders>
              <w:top w:val="single" w:sz="4" w:space="0" w:color="000000"/>
              <w:left w:val="single" w:sz="4" w:space="0" w:color="000000"/>
              <w:bottom w:val="single" w:sz="4" w:space="0" w:color="000000"/>
            </w:tcBorders>
          </w:tcPr>
          <w:p>
            <w:pPr>
              <w:pStyle w:val="TableHeading"/>
              <w:jc w:val="left"/>
              <w:rPr/>
            </w:pPr>
            <w:r>
              <w:rPr/>
              <w:t>Confidence level</w:t>
            </w:r>
          </w:p>
        </w:tc>
        <w:tc>
          <w:tcPr>
            <w:tcW w:w="2410" w:type="dxa"/>
            <w:tcBorders>
              <w:top w:val="single" w:sz="4" w:space="0" w:color="000000"/>
              <w:left w:val="single" w:sz="4" w:space="0" w:color="000000"/>
              <w:bottom w:val="single" w:sz="4" w:space="0" w:color="000000"/>
            </w:tcBorders>
          </w:tcPr>
          <w:p>
            <w:pPr>
              <w:pStyle w:val="TableHeading"/>
              <w:jc w:val="left"/>
              <w:rPr/>
            </w:pPr>
            <w:r>
              <w:rPr/>
              <w:t>n</w:t>
            </w:r>
          </w:p>
        </w:tc>
        <w:tc>
          <w:tcPr>
            <w:tcW w:w="2409" w:type="dxa"/>
            <w:tcBorders>
              <w:top w:val="single" w:sz="4" w:space="0" w:color="000000"/>
              <w:left w:val="single" w:sz="4" w:space="0" w:color="000000"/>
              <w:bottom w:val="single" w:sz="4" w:space="0" w:color="000000"/>
            </w:tcBorders>
          </w:tcPr>
          <w:p>
            <w:pPr>
              <w:pStyle w:val="TableHeading"/>
              <w:jc w:val="left"/>
              <w:rPr/>
            </w:pPr>
            <w:r>
              <w:rPr/>
              <w:t>Proportion (%)</w:t>
            </w:r>
          </w:p>
        </w:tc>
        <w:tc>
          <w:tcPr>
            <w:tcW w:w="2410" w:type="dxa"/>
            <w:tcBorders>
              <w:top w:val="single" w:sz="4" w:space="0" w:color="000000"/>
              <w:left w:val="single" w:sz="4" w:space="0" w:color="000000"/>
              <w:bottom w:val="single" w:sz="4" w:space="0" w:color="000000"/>
              <w:right w:val="single" w:sz="4" w:space="0" w:color="000000"/>
            </w:tcBorders>
          </w:tcPr>
          <w:p>
            <w:pPr>
              <w:pStyle w:val="TableHeading"/>
              <w:jc w:val="left"/>
              <w:rPr/>
            </w:pPr>
            <w:r>
              <w:rPr/>
              <w:t>Typical characteristics</w:t>
            </w:r>
          </w:p>
        </w:tc>
      </w:tr>
      <w:tr>
        <w:trPr/>
        <w:tc>
          <w:tcPr>
            <w:tcW w:w="2409" w:type="dxa"/>
            <w:tcBorders>
              <w:left w:val="single" w:sz="4" w:space="0" w:color="000000"/>
              <w:bottom w:val="single" w:sz="4" w:space="0" w:color="000000"/>
            </w:tcBorders>
          </w:tcPr>
          <w:p>
            <w:pPr>
              <w:pStyle w:val="TableContents"/>
              <w:jc w:val="left"/>
              <w:rPr/>
            </w:pPr>
            <w:r>
              <w:rPr/>
              <w:t>≥</w:t>
            </w:r>
            <w:r>
              <w:rPr/>
              <w:t>90%</w:t>
            </w:r>
          </w:p>
        </w:tc>
        <w:tc>
          <w:tcPr>
            <w:tcW w:w="2410" w:type="dxa"/>
            <w:tcBorders>
              <w:left w:val="single" w:sz="4" w:space="0" w:color="000000"/>
              <w:bottom w:val="single" w:sz="4" w:space="0" w:color="000000"/>
            </w:tcBorders>
          </w:tcPr>
          <w:p>
            <w:pPr>
              <w:pStyle w:val="TableContents"/>
              <w:jc w:val="left"/>
              <w:rPr/>
            </w:pPr>
            <w:r>
              <w:rPr/>
              <w:t>48</w:t>
            </w:r>
          </w:p>
        </w:tc>
        <w:tc>
          <w:tcPr>
            <w:tcW w:w="2409" w:type="dxa"/>
            <w:tcBorders>
              <w:left w:val="single" w:sz="4" w:space="0" w:color="000000"/>
              <w:bottom w:val="single" w:sz="4" w:space="0" w:color="000000"/>
            </w:tcBorders>
          </w:tcPr>
          <w:p>
            <w:pPr>
              <w:pStyle w:val="TableContents"/>
              <w:jc w:val="left"/>
              <w:rPr/>
            </w:pPr>
            <w:r>
              <w:rPr/>
              <w:t>40.7</w:t>
            </w:r>
          </w:p>
        </w:tc>
        <w:tc>
          <w:tcPr>
            <w:tcW w:w="2410" w:type="dxa"/>
            <w:tcBorders>
              <w:left w:val="single" w:sz="4" w:space="0" w:color="000000"/>
              <w:bottom w:val="single" w:sz="4" w:space="0" w:color="000000"/>
              <w:right w:val="single" w:sz="4" w:space="0" w:color="000000"/>
            </w:tcBorders>
          </w:tcPr>
          <w:p>
            <w:pPr>
              <w:pStyle w:val="TableContents"/>
              <w:jc w:val="left"/>
              <w:rPr/>
            </w:pPr>
            <w:r>
              <w:rPr/>
              <w:t>Full phenological cycle, no anomalies, uniform canopy</w:t>
            </w:r>
          </w:p>
        </w:tc>
      </w:tr>
      <w:tr>
        <w:trPr/>
        <w:tc>
          <w:tcPr>
            <w:tcW w:w="2409" w:type="dxa"/>
            <w:tcBorders>
              <w:left w:val="single" w:sz="4" w:space="0" w:color="000000"/>
              <w:bottom w:val="single" w:sz="4" w:space="0" w:color="000000"/>
            </w:tcBorders>
          </w:tcPr>
          <w:p>
            <w:pPr>
              <w:pStyle w:val="TableContents"/>
              <w:jc w:val="left"/>
              <w:rPr/>
            </w:pPr>
            <w:r>
              <w:rPr/>
              <w:t>85–89%</w:t>
            </w:r>
          </w:p>
        </w:tc>
        <w:tc>
          <w:tcPr>
            <w:tcW w:w="2410" w:type="dxa"/>
            <w:tcBorders>
              <w:left w:val="single" w:sz="4" w:space="0" w:color="000000"/>
              <w:bottom w:val="single" w:sz="4" w:space="0" w:color="000000"/>
            </w:tcBorders>
          </w:tcPr>
          <w:p>
            <w:pPr>
              <w:pStyle w:val="TableContents"/>
              <w:jc w:val="left"/>
              <w:rPr/>
            </w:pPr>
            <w:r>
              <w:rPr/>
              <w:t>52</w:t>
            </w:r>
          </w:p>
        </w:tc>
        <w:tc>
          <w:tcPr>
            <w:tcW w:w="2409" w:type="dxa"/>
            <w:tcBorders>
              <w:left w:val="single" w:sz="4" w:space="0" w:color="000000"/>
              <w:bottom w:val="single" w:sz="4" w:space="0" w:color="000000"/>
            </w:tcBorders>
          </w:tcPr>
          <w:p>
            <w:pPr>
              <w:pStyle w:val="TableContents"/>
              <w:jc w:val="left"/>
              <w:rPr/>
            </w:pPr>
            <w:r>
              <w:rPr/>
              <w:t>44.1</w:t>
            </w:r>
          </w:p>
        </w:tc>
        <w:tc>
          <w:tcPr>
            <w:tcW w:w="2410" w:type="dxa"/>
            <w:tcBorders>
              <w:left w:val="single" w:sz="4" w:space="0" w:color="000000"/>
              <w:bottom w:val="single" w:sz="4" w:space="0" w:color="000000"/>
              <w:right w:val="single" w:sz="4" w:space="0" w:color="000000"/>
            </w:tcBorders>
          </w:tcPr>
          <w:p>
            <w:pPr>
              <w:pStyle w:val="TableContents"/>
              <w:jc w:val="left"/>
              <w:rPr/>
            </w:pPr>
            <w:r>
              <w:rPr/>
              <w:t>Minor lodging or partial constraints</w:t>
            </w:r>
          </w:p>
        </w:tc>
      </w:tr>
      <w:tr>
        <w:trPr/>
        <w:tc>
          <w:tcPr>
            <w:tcW w:w="2409" w:type="dxa"/>
            <w:tcBorders>
              <w:left w:val="single" w:sz="4" w:space="0" w:color="000000"/>
              <w:bottom w:val="single" w:sz="4" w:space="0" w:color="000000"/>
            </w:tcBorders>
          </w:tcPr>
          <w:p>
            <w:pPr>
              <w:pStyle w:val="TableContents"/>
              <w:jc w:val="left"/>
              <w:rPr/>
            </w:pPr>
            <w:r>
              <w:rPr/>
              <w:t>80–84%</w:t>
            </w:r>
          </w:p>
        </w:tc>
        <w:tc>
          <w:tcPr>
            <w:tcW w:w="2410" w:type="dxa"/>
            <w:tcBorders>
              <w:left w:val="single" w:sz="4" w:space="0" w:color="000000"/>
              <w:bottom w:val="single" w:sz="4" w:space="0" w:color="000000"/>
            </w:tcBorders>
          </w:tcPr>
          <w:p>
            <w:pPr>
              <w:pStyle w:val="TableContents"/>
              <w:jc w:val="left"/>
              <w:rPr/>
            </w:pPr>
            <w:r>
              <w:rPr/>
              <w:t>8</w:t>
            </w:r>
          </w:p>
        </w:tc>
        <w:tc>
          <w:tcPr>
            <w:tcW w:w="2409" w:type="dxa"/>
            <w:tcBorders>
              <w:left w:val="single" w:sz="4" w:space="0" w:color="000000"/>
              <w:bottom w:val="single" w:sz="4" w:space="0" w:color="000000"/>
            </w:tcBorders>
          </w:tcPr>
          <w:p>
            <w:pPr>
              <w:pStyle w:val="TableContents"/>
              <w:jc w:val="left"/>
              <w:rPr/>
            </w:pPr>
            <w:r>
              <w:rPr/>
              <w:t>6.8</w:t>
            </w:r>
          </w:p>
        </w:tc>
        <w:tc>
          <w:tcPr>
            <w:tcW w:w="2410" w:type="dxa"/>
            <w:tcBorders>
              <w:left w:val="single" w:sz="4" w:space="0" w:color="000000"/>
              <w:bottom w:val="single" w:sz="4" w:space="0" w:color="000000"/>
              <w:right w:val="single" w:sz="4" w:space="0" w:color="000000"/>
            </w:tcBorders>
          </w:tcPr>
          <w:p>
            <w:pPr>
              <w:pStyle w:val="TableContents"/>
              <w:jc w:val="left"/>
              <w:rPr/>
            </w:pPr>
            <w:r>
              <w:rPr/>
              <w:t>Low-light imagery, early-stage observations</w:t>
            </w:r>
          </w:p>
        </w:tc>
      </w:tr>
      <w:tr>
        <w:trPr/>
        <w:tc>
          <w:tcPr>
            <w:tcW w:w="2409" w:type="dxa"/>
            <w:tcBorders>
              <w:left w:val="single" w:sz="4" w:space="0" w:color="000000"/>
              <w:bottom w:val="single" w:sz="4" w:space="0" w:color="000000"/>
            </w:tcBorders>
          </w:tcPr>
          <w:p>
            <w:pPr>
              <w:pStyle w:val="TableContents"/>
              <w:jc w:val="left"/>
              <w:rPr/>
            </w:pPr>
            <w:r>
              <w:rPr/>
              <w:t>70–79%</w:t>
            </w:r>
          </w:p>
        </w:tc>
        <w:tc>
          <w:tcPr>
            <w:tcW w:w="2410" w:type="dxa"/>
            <w:tcBorders>
              <w:left w:val="single" w:sz="4" w:space="0" w:color="000000"/>
              <w:bottom w:val="single" w:sz="4" w:space="0" w:color="000000"/>
            </w:tcBorders>
          </w:tcPr>
          <w:p>
            <w:pPr>
              <w:pStyle w:val="TableContents"/>
              <w:jc w:val="left"/>
              <w:rPr/>
            </w:pPr>
            <w:r>
              <w:rPr/>
              <w:t>10</w:t>
            </w:r>
          </w:p>
        </w:tc>
        <w:tc>
          <w:tcPr>
            <w:tcW w:w="2409" w:type="dxa"/>
            <w:tcBorders>
              <w:left w:val="single" w:sz="4" w:space="0" w:color="000000"/>
              <w:bottom w:val="single" w:sz="4" w:space="0" w:color="000000"/>
            </w:tcBorders>
          </w:tcPr>
          <w:p>
            <w:pPr>
              <w:pStyle w:val="TableContents"/>
              <w:jc w:val="left"/>
              <w:rPr/>
            </w:pPr>
            <w:r>
              <w:rPr/>
              <w:t>8.5</w:t>
            </w:r>
          </w:p>
        </w:tc>
        <w:tc>
          <w:tcPr>
            <w:tcW w:w="2410" w:type="dxa"/>
            <w:tcBorders>
              <w:left w:val="single" w:sz="4" w:space="0" w:color="000000"/>
              <w:bottom w:val="single" w:sz="4" w:space="0" w:color="000000"/>
              <w:right w:val="single" w:sz="4" w:space="0" w:color="000000"/>
            </w:tcBorders>
          </w:tcPr>
          <w:p>
            <w:pPr>
              <w:pStyle w:val="TableContents"/>
              <w:jc w:val="left"/>
              <w:rPr/>
            </w:pPr>
            <w:r>
              <w:rPr/>
              <w:t>Missing data, severe lodging, early growth only</w:t>
            </w:r>
          </w:p>
        </w:tc>
      </w:tr>
    </w:tbl>
    <w:p>
      <w:pPr>
        <w:pStyle w:val="BodyText"/>
        <w:rPr/>
      </w:pPr>
      <w:r>
        <w:rPr/>
      </w:r>
    </w:p>
    <w:p>
      <w:pPr>
        <w:pStyle w:val="BodyText"/>
        <w:jc w:val="center"/>
        <w:rPr/>
      </w:pPr>
      <w:r>
        <w:rPr/>
        <w:t xml:space="preserve">Table </w:t>
      </w:r>
      <w:r>
        <w:rPr/>
        <w:t>7</w:t>
      </w:r>
      <w:r>
        <w:rPr/>
        <w:t>. Distribution of confidence scores across all observations (n = 118)</w:t>
      </w:r>
    </w:p>
    <w:p>
      <w:pPr>
        <w:pStyle w:val="BodyText"/>
        <w:rPr/>
      </w:pPr>
      <w:r>
        <w:rPr/>
        <w:t>6</w:t>
      </w:r>
      <w:r>
        <w:rPr/>
        <w:t>.4.2 Factors Influencing Confidence</w:t>
      </w:r>
    </w:p>
    <w:p>
      <w:pPr>
        <w:pStyle w:val="BodyText"/>
        <w:rPr/>
      </w:pPr>
      <w:r>
        <w:rPr/>
        <w:t>High-confidence estimates (≥90%)  were consistently associated with four characteristics:</w:t>
      </w:r>
    </w:p>
    <w:p>
      <w:pPr>
        <w:pStyle w:val="BodyText"/>
        <w:numPr>
          <w:ilvl w:val="0"/>
          <w:numId w:val="7"/>
        </w:numPr>
        <w:tabs>
          <w:tab w:val="clear" w:pos="11340"/>
          <w:tab w:val="left" w:pos="0" w:leader="none"/>
        </w:tabs>
        <w:ind w:hanging="283" w:left="709"/>
        <w:rPr/>
      </w:pPr>
      <w:r>
        <w:rPr/>
        <w:t>Complete phenological imagery  – Observations spanning multiple growth stages from vegetative to maturity</w:t>
      </w:r>
    </w:p>
    <w:p>
      <w:pPr>
        <w:pStyle w:val="BodyText"/>
        <w:numPr>
          <w:ilvl w:val="0"/>
          <w:numId w:val="7"/>
        </w:numPr>
        <w:tabs>
          <w:tab w:val="clear" w:pos="11340"/>
          <w:tab w:val="left" w:pos="0" w:leader="none"/>
        </w:tabs>
        <w:ind w:hanging="283" w:left="709"/>
        <w:rPr/>
      </w:pPr>
      <w:r>
        <w:rPr/>
        <w:t>Absence of visible anomalies  – No lodging, pest damage, disease symptoms, or nutrient deficiencies</w:t>
      </w:r>
    </w:p>
    <w:p>
      <w:pPr>
        <w:pStyle w:val="BodyText"/>
        <w:numPr>
          <w:ilvl w:val="0"/>
          <w:numId w:val="7"/>
        </w:numPr>
        <w:tabs>
          <w:tab w:val="clear" w:pos="11340"/>
          <w:tab w:val="left" w:pos="0" w:leader="none"/>
        </w:tabs>
        <w:ind w:hanging="283" w:left="709"/>
        <w:rPr/>
      </w:pPr>
      <w:r>
        <w:rPr/>
        <w:t>Uniform canopy density  – Consistent color, height, and spike distribution across the field</w:t>
      </w:r>
    </w:p>
    <w:p>
      <w:pPr>
        <w:pStyle w:val="BodyText"/>
        <w:numPr>
          <w:ilvl w:val="0"/>
          <w:numId w:val="7"/>
        </w:numPr>
        <w:tabs>
          <w:tab w:val="clear" w:pos="11340"/>
          <w:tab w:val="left" w:pos="0" w:leader="none"/>
        </w:tabs>
        <w:ind w:hanging="283" w:left="709"/>
        <w:rPr/>
      </w:pPr>
      <w:r>
        <w:rPr/>
        <w:t>Clear imagery  – No shadows, fog obscuration, or image corruption</w:t>
      </w:r>
    </w:p>
    <w:p>
      <w:pPr>
        <w:pStyle w:val="BodyText"/>
        <w:rPr/>
      </w:pPr>
      <w:r>
        <w:rPr/>
        <w:t>Moderate-confidence estimates (85–89%)  typically involved minor lodging (as discussed in Section 3.3.1) or partial phenological coverage (e.g., observations ending at heading, before grain fill completion).</w:t>
      </w:r>
    </w:p>
    <w:p>
      <w:pPr>
        <w:pStyle w:val="BodyText"/>
        <w:rPr/>
      </w:pPr>
      <w:r>
        <w:rPr/>
        <w:t>Lower-confidence estimates (≤84%)  were associated with:</w:t>
      </w:r>
    </w:p>
    <w:p>
      <w:pPr>
        <w:pStyle w:val="BodyText"/>
        <w:numPr>
          <w:ilvl w:val="0"/>
          <w:numId w:val="8"/>
        </w:numPr>
        <w:tabs>
          <w:tab w:val="clear" w:pos="11340"/>
          <w:tab w:val="left" w:pos="0" w:leader="none"/>
        </w:tabs>
        <w:ind w:hanging="283" w:left="709"/>
        <w:rPr/>
      </w:pPr>
      <w:r>
        <w:rPr/>
        <w:t>Early-stage observations only (e.g., tillering stage, no maturity data)</w:t>
      </w:r>
    </w:p>
    <w:p>
      <w:pPr>
        <w:pStyle w:val="BodyText"/>
        <w:numPr>
          <w:ilvl w:val="0"/>
          <w:numId w:val="8"/>
        </w:numPr>
        <w:tabs>
          <w:tab w:val="clear" w:pos="11340"/>
          <w:tab w:val="left" w:pos="0" w:leader="none"/>
        </w:tabs>
        <w:ind w:hanging="283" w:left="709"/>
        <w:rPr/>
      </w:pPr>
      <w:r>
        <w:rPr/>
        <w:t>Partially obscured imagery (shadows from adjacent buildings, heavy fog)</w:t>
      </w:r>
    </w:p>
    <w:p>
      <w:pPr>
        <w:pStyle w:val="BodyText"/>
        <w:numPr>
          <w:ilvl w:val="0"/>
          <w:numId w:val="8"/>
        </w:numPr>
        <w:tabs>
          <w:tab w:val="clear" w:pos="11340"/>
          <w:tab w:val="left" w:pos="0" w:leader="none"/>
        </w:tabs>
        <w:ind w:hanging="283" w:left="709"/>
        <w:rPr/>
      </w:pPr>
      <w:r>
        <w:rPr/>
        <w:t>Missing geolocation data (lat/lon = 0,0), which prevented spatial validation</w:t>
      </w:r>
    </w:p>
    <w:p>
      <w:pPr>
        <w:pStyle w:val="BodyText"/>
        <w:rPr/>
      </w:pPr>
      <w:r>
        <w:rPr/>
        <w:t>6</w:t>
      </w:r>
      <w:r>
        <w:rPr/>
        <w:t>.4.3 Relationship Between Confidence and Yield</w:t>
      </w:r>
    </w:p>
    <w:p>
      <w:pPr>
        <w:pStyle w:val="BodyText"/>
        <w:rPr/>
      </w:pPr>
      <w:r>
        <w:rPr/>
        <w:t>Notably, confidence was not systematically correlated with yield magnitude. Both high-yielding (≥24 q/acre) and low-yielding (≤18 q/acre) fields were represented across confidence levels. This indicates that observers assigned confidence based on data quality and anomaly presence, not yield expectations, reducing the risk of confirmation bias.</w:t>
      </w:r>
    </w:p>
    <w:p>
      <w:pPr>
        <w:pStyle w:val="BodyText"/>
        <w:rPr/>
      </w:pPr>
      <w:r>
        <w:rPr/>
        <w:t>However,  yield estimates with confidence ≥90% showed 32% lower variance  (SD = 1.1 q/acre) compared to estimates with confidence ≤85% (SD = 1.6 q/acre), suggesting that high-confidence estimates are more reliable for variety comparison and forecasting.</w:t>
      </w:r>
    </w:p>
    <w:p>
      <w:pPr>
        <w:pStyle w:val="BodyText"/>
        <w:rPr/>
      </w:pPr>
      <w:r>
        <w:rPr/>
        <w:t>6</w:t>
      </w:r>
      <w:r>
        <w:rPr/>
        <w:t>.5 Proposed Yield Estimation Framework</w:t>
      </w:r>
    </w:p>
    <w:p>
      <w:pPr>
        <w:pStyle w:val="BodyText"/>
        <w:rPr/>
      </w:pPr>
      <w:r>
        <w:rPr/>
        <w:t>6</w:t>
      </w:r>
      <w:r>
        <w:rPr/>
        <w:t>.5.1 Development of Adjustment Rules</w:t>
      </w:r>
    </w:p>
    <w:p>
      <w:pPr>
        <w:pStyle w:val="BodyText"/>
        <w:rPr/>
      </w:pPr>
      <w:r>
        <w:rPr/>
        <w:t xml:space="preserve">Based on the observed patterns of lodging severity and yield impact, a practical framework was developed to adjust baseline yield estimates for common stress conditions. The framework uses  HD2967  as a reference variety with a baseline yield of  22 q/acre  under standard management without lodging or other stresses (Table </w:t>
      </w:r>
      <w:r>
        <w:rPr/>
        <w:t>8</w:t>
      </w:r>
      <w:r>
        <w:rPr/>
        <w:t>).</w:t>
      </w:r>
    </w:p>
    <w:p>
      <w:pPr>
        <w:pStyle w:val="BodyText"/>
        <w:rPr/>
      </w:pPr>
      <w:r>
        <w:rPr/>
      </w:r>
    </w:p>
    <w:tbl>
      <w:tblPr>
        <w:tblW w:w="5000" w:type="pct"/>
        <w:jc w:val="left"/>
        <w:tblInd w:w="55" w:type="dxa"/>
        <w:tblLayout w:type="fixed"/>
        <w:tblCellMar>
          <w:top w:w="55" w:type="dxa"/>
          <w:left w:w="55" w:type="dxa"/>
          <w:bottom w:w="55" w:type="dxa"/>
          <w:right w:w="55" w:type="dxa"/>
        </w:tblCellMar>
      </w:tblPr>
      <w:tblGrid>
        <w:gridCol w:w="3212"/>
        <w:gridCol w:w="3213"/>
        <w:gridCol w:w="3213"/>
      </w:tblGrid>
      <w:tr>
        <w:trPr>
          <w:tblHeader w:val="true"/>
        </w:trPr>
        <w:tc>
          <w:tcPr>
            <w:tcW w:w="3212" w:type="dxa"/>
            <w:tcBorders>
              <w:top w:val="single" w:sz="4" w:space="0" w:color="000000"/>
              <w:left w:val="single" w:sz="4" w:space="0" w:color="000000"/>
              <w:bottom w:val="single" w:sz="4" w:space="0" w:color="000000"/>
            </w:tcBorders>
          </w:tcPr>
          <w:p>
            <w:pPr>
              <w:pStyle w:val="TableHeading"/>
              <w:jc w:val="left"/>
              <w:rPr/>
            </w:pPr>
            <w:r>
              <w:rPr/>
              <w:t>Condition</w:t>
            </w:r>
          </w:p>
        </w:tc>
        <w:tc>
          <w:tcPr>
            <w:tcW w:w="3213" w:type="dxa"/>
            <w:tcBorders>
              <w:top w:val="single" w:sz="4" w:space="0" w:color="000000"/>
              <w:left w:val="single" w:sz="4" w:space="0" w:color="000000"/>
              <w:bottom w:val="single" w:sz="4" w:space="0" w:color="000000"/>
            </w:tcBorders>
          </w:tcPr>
          <w:p>
            <w:pPr>
              <w:pStyle w:val="TableHeading"/>
              <w:jc w:val="left"/>
              <w:rPr/>
            </w:pPr>
            <w:r>
              <w:rPr/>
              <w:t>Adjustment factor</w:t>
            </w:r>
          </w:p>
        </w:tc>
        <w:tc>
          <w:tcPr>
            <w:tcW w:w="3213" w:type="dxa"/>
            <w:tcBorders>
              <w:top w:val="single" w:sz="4" w:space="0" w:color="000000"/>
              <w:left w:val="single" w:sz="4" w:space="0" w:color="000000"/>
              <w:bottom w:val="single" w:sz="4" w:space="0" w:color="000000"/>
              <w:right w:val="single" w:sz="4" w:space="0" w:color="000000"/>
            </w:tcBorders>
          </w:tcPr>
          <w:p>
            <w:pPr>
              <w:pStyle w:val="TableHeading"/>
              <w:jc w:val="left"/>
              <w:rPr/>
            </w:pPr>
            <w:r>
              <w:rPr/>
              <w:t>Example (22 q/acre baseline)</w:t>
            </w:r>
          </w:p>
        </w:tc>
      </w:tr>
      <w:tr>
        <w:trPr/>
        <w:tc>
          <w:tcPr>
            <w:tcW w:w="3212" w:type="dxa"/>
            <w:tcBorders>
              <w:left w:val="single" w:sz="4" w:space="0" w:color="000000"/>
              <w:bottom w:val="single" w:sz="4" w:space="0" w:color="000000"/>
            </w:tcBorders>
          </w:tcPr>
          <w:p>
            <w:pPr>
              <w:pStyle w:val="TableContents"/>
              <w:jc w:val="left"/>
              <w:rPr/>
            </w:pPr>
            <w:r>
              <w:rPr/>
              <w:t>Healthy + uniform + no lodging</w:t>
            </w:r>
          </w:p>
        </w:tc>
        <w:tc>
          <w:tcPr>
            <w:tcW w:w="3213" w:type="dxa"/>
            <w:tcBorders>
              <w:left w:val="single" w:sz="4" w:space="0" w:color="000000"/>
              <w:bottom w:val="single" w:sz="4" w:space="0" w:color="000000"/>
            </w:tcBorders>
          </w:tcPr>
          <w:p>
            <w:pPr>
              <w:pStyle w:val="TableContents"/>
              <w:jc w:val="left"/>
              <w:rPr/>
            </w:pPr>
            <w:r>
              <w:rPr/>
              <w:t>+10 to +15%</w:t>
            </w:r>
          </w:p>
        </w:tc>
        <w:tc>
          <w:tcPr>
            <w:tcW w:w="3213" w:type="dxa"/>
            <w:tcBorders>
              <w:left w:val="single" w:sz="4" w:space="0" w:color="000000"/>
              <w:bottom w:val="single" w:sz="4" w:space="0" w:color="000000"/>
              <w:right w:val="single" w:sz="4" w:space="0" w:color="000000"/>
            </w:tcBorders>
          </w:tcPr>
          <w:p>
            <w:pPr>
              <w:pStyle w:val="TableContents"/>
              <w:jc w:val="left"/>
              <w:rPr/>
            </w:pPr>
            <w:r>
              <w:rPr/>
              <w:t>24.2 – 25.3 q/acre</w:t>
            </w:r>
          </w:p>
        </w:tc>
      </w:tr>
      <w:tr>
        <w:trPr/>
        <w:tc>
          <w:tcPr>
            <w:tcW w:w="3212" w:type="dxa"/>
            <w:tcBorders>
              <w:left w:val="single" w:sz="4" w:space="0" w:color="000000"/>
              <w:bottom w:val="single" w:sz="4" w:space="0" w:color="000000"/>
            </w:tcBorders>
          </w:tcPr>
          <w:p>
            <w:pPr>
              <w:pStyle w:val="TableContents"/>
              <w:jc w:val="left"/>
              <w:rPr/>
            </w:pPr>
            <w:r>
              <w:rPr/>
              <w:t>Minor lodging at maturity</w:t>
            </w:r>
          </w:p>
        </w:tc>
        <w:tc>
          <w:tcPr>
            <w:tcW w:w="3213" w:type="dxa"/>
            <w:tcBorders>
              <w:left w:val="single" w:sz="4" w:space="0" w:color="000000"/>
              <w:bottom w:val="single" w:sz="4" w:space="0" w:color="000000"/>
            </w:tcBorders>
          </w:tcPr>
          <w:p>
            <w:pPr>
              <w:pStyle w:val="TableContents"/>
              <w:jc w:val="left"/>
              <w:rPr/>
            </w:pPr>
            <w:r>
              <w:rPr/>
              <w:t>–</w:t>
            </w:r>
            <w:r>
              <w:rPr/>
              <w:t>5 to –10%</w:t>
            </w:r>
          </w:p>
        </w:tc>
        <w:tc>
          <w:tcPr>
            <w:tcW w:w="3213" w:type="dxa"/>
            <w:tcBorders>
              <w:left w:val="single" w:sz="4" w:space="0" w:color="000000"/>
              <w:bottom w:val="single" w:sz="4" w:space="0" w:color="000000"/>
              <w:right w:val="single" w:sz="4" w:space="0" w:color="000000"/>
            </w:tcBorders>
          </w:tcPr>
          <w:p>
            <w:pPr>
              <w:pStyle w:val="TableContents"/>
              <w:jc w:val="left"/>
              <w:rPr/>
            </w:pPr>
            <w:r>
              <w:rPr/>
              <w:t>19.8 – 20.9 q/acre</w:t>
            </w:r>
          </w:p>
        </w:tc>
      </w:tr>
      <w:tr>
        <w:trPr/>
        <w:tc>
          <w:tcPr>
            <w:tcW w:w="3212" w:type="dxa"/>
            <w:tcBorders>
              <w:left w:val="single" w:sz="4" w:space="0" w:color="000000"/>
              <w:bottom w:val="single" w:sz="4" w:space="0" w:color="000000"/>
            </w:tcBorders>
          </w:tcPr>
          <w:p>
            <w:pPr>
              <w:pStyle w:val="TableContents"/>
              <w:jc w:val="left"/>
              <w:rPr/>
            </w:pPr>
            <w:r>
              <w:rPr/>
              <w:t>Moderate lodging (widespread at maturity)</w:t>
            </w:r>
          </w:p>
        </w:tc>
        <w:tc>
          <w:tcPr>
            <w:tcW w:w="3213" w:type="dxa"/>
            <w:tcBorders>
              <w:left w:val="single" w:sz="4" w:space="0" w:color="000000"/>
              <w:bottom w:val="single" w:sz="4" w:space="0" w:color="000000"/>
            </w:tcBorders>
          </w:tcPr>
          <w:p>
            <w:pPr>
              <w:pStyle w:val="TableContents"/>
              <w:jc w:val="left"/>
              <w:rPr/>
            </w:pPr>
            <w:r>
              <w:rPr/>
              <w:t>–</w:t>
            </w:r>
            <w:r>
              <w:rPr/>
              <w:t>15 to –20%</w:t>
            </w:r>
          </w:p>
        </w:tc>
        <w:tc>
          <w:tcPr>
            <w:tcW w:w="3213" w:type="dxa"/>
            <w:tcBorders>
              <w:left w:val="single" w:sz="4" w:space="0" w:color="000000"/>
              <w:bottom w:val="single" w:sz="4" w:space="0" w:color="000000"/>
              <w:right w:val="single" w:sz="4" w:space="0" w:color="000000"/>
            </w:tcBorders>
          </w:tcPr>
          <w:p>
            <w:pPr>
              <w:pStyle w:val="TableContents"/>
              <w:jc w:val="left"/>
              <w:rPr/>
            </w:pPr>
            <w:r>
              <w:rPr/>
              <w:t>17.6 – 18.7 q/acre</w:t>
            </w:r>
          </w:p>
        </w:tc>
      </w:tr>
      <w:tr>
        <w:trPr/>
        <w:tc>
          <w:tcPr>
            <w:tcW w:w="3212" w:type="dxa"/>
            <w:tcBorders>
              <w:left w:val="single" w:sz="4" w:space="0" w:color="000000"/>
              <w:bottom w:val="single" w:sz="4" w:space="0" w:color="000000"/>
            </w:tcBorders>
          </w:tcPr>
          <w:p>
            <w:pPr>
              <w:pStyle w:val="TableContents"/>
              <w:jc w:val="left"/>
              <w:rPr/>
            </w:pPr>
            <w:r>
              <w:rPr/>
              <w:t>Severe lodging (pre-grain fill)</w:t>
            </w:r>
          </w:p>
        </w:tc>
        <w:tc>
          <w:tcPr>
            <w:tcW w:w="3213" w:type="dxa"/>
            <w:tcBorders>
              <w:left w:val="single" w:sz="4" w:space="0" w:color="000000"/>
              <w:bottom w:val="single" w:sz="4" w:space="0" w:color="000000"/>
            </w:tcBorders>
          </w:tcPr>
          <w:p>
            <w:pPr>
              <w:pStyle w:val="TableContents"/>
              <w:jc w:val="left"/>
              <w:rPr/>
            </w:pPr>
            <w:r>
              <w:rPr/>
              <w:t>–</w:t>
            </w:r>
            <w:r>
              <w:rPr/>
              <w:t>25 to –30%</w:t>
            </w:r>
          </w:p>
        </w:tc>
        <w:tc>
          <w:tcPr>
            <w:tcW w:w="3213" w:type="dxa"/>
            <w:tcBorders>
              <w:left w:val="single" w:sz="4" w:space="0" w:color="000000"/>
              <w:bottom w:val="single" w:sz="4" w:space="0" w:color="000000"/>
              <w:right w:val="single" w:sz="4" w:space="0" w:color="000000"/>
            </w:tcBorders>
          </w:tcPr>
          <w:p>
            <w:pPr>
              <w:pStyle w:val="TableContents"/>
              <w:jc w:val="left"/>
              <w:rPr/>
            </w:pPr>
            <w:r>
              <w:rPr/>
              <w:t>15.4 – 16.5 q/acre</w:t>
            </w:r>
          </w:p>
        </w:tc>
      </w:tr>
      <w:tr>
        <w:trPr/>
        <w:tc>
          <w:tcPr>
            <w:tcW w:w="3212" w:type="dxa"/>
            <w:tcBorders>
              <w:left w:val="single" w:sz="4" w:space="0" w:color="000000"/>
              <w:bottom w:val="single" w:sz="4" w:space="0" w:color="000000"/>
            </w:tcBorders>
          </w:tcPr>
          <w:p>
            <w:pPr>
              <w:pStyle w:val="TableContents"/>
              <w:jc w:val="left"/>
              <w:rPr/>
            </w:pPr>
            <w:r>
              <w:rPr/>
              <w:t>Weed pressure only</w:t>
            </w:r>
          </w:p>
        </w:tc>
        <w:tc>
          <w:tcPr>
            <w:tcW w:w="3213" w:type="dxa"/>
            <w:tcBorders>
              <w:left w:val="single" w:sz="4" w:space="0" w:color="000000"/>
              <w:bottom w:val="single" w:sz="4" w:space="0" w:color="000000"/>
            </w:tcBorders>
          </w:tcPr>
          <w:p>
            <w:pPr>
              <w:pStyle w:val="TableContents"/>
              <w:jc w:val="left"/>
              <w:rPr/>
            </w:pPr>
            <w:r>
              <w:rPr/>
              <w:t>–</w:t>
            </w:r>
            <w:r>
              <w:rPr/>
              <w:t>5%</w:t>
            </w:r>
          </w:p>
        </w:tc>
        <w:tc>
          <w:tcPr>
            <w:tcW w:w="3213" w:type="dxa"/>
            <w:tcBorders>
              <w:left w:val="single" w:sz="4" w:space="0" w:color="000000"/>
              <w:bottom w:val="single" w:sz="4" w:space="0" w:color="000000"/>
              <w:right w:val="single" w:sz="4" w:space="0" w:color="000000"/>
            </w:tcBorders>
          </w:tcPr>
          <w:p>
            <w:pPr>
              <w:pStyle w:val="TableContents"/>
              <w:jc w:val="left"/>
              <w:rPr/>
            </w:pPr>
            <w:r>
              <w:rPr/>
              <w:t>20.9 q/acre</w:t>
            </w:r>
          </w:p>
        </w:tc>
      </w:tr>
      <w:tr>
        <w:trPr/>
        <w:tc>
          <w:tcPr>
            <w:tcW w:w="3212" w:type="dxa"/>
            <w:tcBorders>
              <w:left w:val="single" w:sz="4" w:space="0" w:color="000000"/>
              <w:bottom w:val="single" w:sz="4" w:space="0" w:color="000000"/>
            </w:tcBorders>
          </w:tcPr>
          <w:p>
            <w:pPr>
              <w:pStyle w:val="TableContents"/>
              <w:jc w:val="left"/>
              <w:rPr/>
            </w:pPr>
            <w:r>
              <w:rPr/>
              <w:t>Waterlogging + lodging (combined)</w:t>
            </w:r>
          </w:p>
        </w:tc>
        <w:tc>
          <w:tcPr>
            <w:tcW w:w="3213" w:type="dxa"/>
            <w:tcBorders>
              <w:left w:val="single" w:sz="4" w:space="0" w:color="000000"/>
              <w:bottom w:val="single" w:sz="4" w:space="0" w:color="000000"/>
            </w:tcBorders>
          </w:tcPr>
          <w:p>
            <w:pPr>
              <w:pStyle w:val="TableContents"/>
              <w:jc w:val="left"/>
              <w:rPr/>
            </w:pPr>
            <w:r>
              <w:rPr/>
              <w:t>–</w:t>
            </w:r>
            <w:r>
              <w:rPr/>
              <w:t>15 to –25%</w:t>
            </w:r>
          </w:p>
        </w:tc>
        <w:tc>
          <w:tcPr>
            <w:tcW w:w="3213" w:type="dxa"/>
            <w:tcBorders>
              <w:left w:val="single" w:sz="4" w:space="0" w:color="000000"/>
              <w:bottom w:val="single" w:sz="4" w:space="0" w:color="000000"/>
              <w:right w:val="single" w:sz="4" w:space="0" w:color="000000"/>
            </w:tcBorders>
          </w:tcPr>
          <w:p>
            <w:pPr>
              <w:pStyle w:val="TableContents"/>
              <w:jc w:val="left"/>
              <w:rPr/>
            </w:pPr>
            <w:r>
              <w:rPr/>
              <w:t>16.5 – 18.7 q/acre</w:t>
            </w:r>
          </w:p>
        </w:tc>
      </w:tr>
    </w:tbl>
    <w:p>
      <w:pPr>
        <w:pStyle w:val="BodyText"/>
        <w:rPr/>
      </w:pPr>
      <w:r>
        <w:rPr/>
      </w:r>
    </w:p>
    <w:p>
      <w:pPr>
        <w:pStyle w:val="BodyText"/>
        <w:jc w:val="center"/>
        <w:rPr/>
      </w:pPr>
      <w:r>
        <w:rPr/>
        <w:t xml:space="preserve">Table </w:t>
      </w:r>
      <w:r>
        <w:rPr/>
        <w:t>8</w:t>
      </w:r>
      <w:r>
        <w:rPr/>
        <w:t>. Proposed yield adjustment framework for wheat (baseline: 22 q/acre)</w:t>
      </w:r>
    </w:p>
    <w:p>
      <w:pPr>
        <w:pStyle w:val="BodyText"/>
        <w:rPr/>
      </w:pPr>
      <w:r>
        <w:rPr/>
        <w:t>6</w:t>
      </w:r>
      <w:r>
        <w:rPr/>
        <w:t>.5.2 Validation of the Framework</w:t>
      </w:r>
    </w:p>
    <w:p>
      <w:pPr>
        <w:pStyle w:val="BodyText"/>
        <w:rPr/>
      </w:pPr>
      <w:r>
        <w:rPr/>
        <w:t>The framework was validated against 30 independent observations (not used in rule development) where both lodging severity and final yield were documented. Predicted yields were calculated by applying the appropriate adjustment to the variety-specific baseline (22 q/acre for HD2967, 24 q/acre for DBW90, 21 q/acre for KRL 210, etc.).</w:t>
      </w:r>
    </w:p>
    <w:p>
      <w:pPr>
        <w:pStyle w:val="BodyText"/>
        <w:rPr/>
      </w:pPr>
      <w:r>
        <w:rPr/>
        <w:t>Results:</w:t>
      </w:r>
    </w:p>
    <w:p>
      <w:pPr>
        <w:pStyle w:val="BodyText"/>
        <w:numPr>
          <w:ilvl w:val="0"/>
          <w:numId w:val="9"/>
        </w:numPr>
        <w:tabs>
          <w:tab w:val="clear" w:pos="11340"/>
          <w:tab w:val="left" w:pos="0" w:leader="none"/>
        </w:tabs>
        <w:ind w:hanging="283" w:left="709"/>
        <w:rPr/>
      </w:pPr>
      <w:r>
        <w:rPr/>
        <w:t>Mean absolute error (MAE) = 1.2 q/acre</w:t>
      </w:r>
    </w:p>
    <w:p>
      <w:pPr>
        <w:pStyle w:val="BodyText"/>
        <w:numPr>
          <w:ilvl w:val="0"/>
          <w:numId w:val="9"/>
        </w:numPr>
        <w:tabs>
          <w:tab w:val="clear" w:pos="11340"/>
          <w:tab w:val="left" w:pos="0" w:leader="none"/>
        </w:tabs>
        <w:ind w:hanging="283" w:left="709"/>
        <w:rPr/>
      </w:pPr>
      <w:r>
        <w:rPr/>
        <w:t>Root mean square error (RMSE) = 1.6 q/acre</w:t>
      </w:r>
    </w:p>
    <w:p>
      <w:pPr>
        <w:pStyle w:val="BodyText"/>
        <w:numPr>
          <w:ilvl w:val="0"/>
          <w:numId w:val="9"/>
        </w:numPr>
        <w:tabs>
          <w:tab w:val="clear" w:pos="11340"/>
          <w:tab w:val="left" w:pos="0" w:leader="none"/>
        </w:tabs>
        <w:ind w:hanging="283" w:left="709"/>
        <w:rPr/>
      </w:pPr>
      <w:r>
        <w:rPr/>
        <w:t>85% of predictions fell within ±1.5 q/acre of observed yields</w:t>
      </w:r>
    </w:p>
    <w:p>
      <w:pPr>
        <w:pStyle w:val="BodyText"/>
        <w:numPr>
          <w:ilvl w:val="0"/>
          <w:numId w:val="9"/>
        </w:numPr>
        <w:tabs>
          <w:tab w:val="clear" w:pos="11340"/>
          <w:tab w:val="left" w:pos="0" w:leader="none"/>
        </w:tabs>
        <w:ind w:hanging="283" w:left="709"/>
        <w:rPr/>
      </w:pPr>
      <w:r>
        <w:rPr/>
        <w:t>Framework performed best for moderate lodging (MAE = 0.9 q/acre) and worst for combined stresses (MAE = 2.1 q/acre, n = 4)</w:t>
      </w:r>
    </w:p>
    <w:p>
      <w:pPr>
        <w:pStyle w:val="BodyText"/>
        <w:rPr/>
      </w:pPr>
      <w:r>
        <w:rPr/>
        <w:t>These validation results suggest the framework is suitable for  field-level yield estimation  under typical stress conditions, though caution is warranted for fields with multiple concurrent stresses.</w:t>
      </w:r>
    </w:p>
    <w:p>
      <w:pPr>
        <w:pStyle w:val="BodyText"/>
        <w:rPr/>
      </w:pPr>
      <w:r>
        <w:rPr/>
        <w:t>6</w:t>
      </w:r>
      <w:r>
        <w:rPr/>
        <w:t>.5.3 Comparison with Literature</w:t>
      </w:r>
    </w:p>
    <w:p>
      <w:pPr>
        <w:pStyle w:val="BodyText"/>
        <w:rPr/>
      </w:pPr>
      <w:r>
        <w:rPr/>
        <w:t>The proposed adjustment factors align with published lodging-yield loss relationships. Tripathi et al. (2004) reported 18–35% yield losses in spring wheat under artificial lodging, depending on timing. Berry et al. (2004) found that lodging at ear emergence reduced yield by up to 40% in winter wheat, while lodging after grain filling reduced yield by only 5–10%. Our framework (25–30% for severe/pre-grain fill lodging; 5–10% for minor/late lodging) is consistent with these benchmarks.</w:t>
      </w:r>
    </w:p>
    <w:p>
      <w:pPr>
        <w:pStyle w:val="BodyText"/>
        <w:rPr/>
      </w:pPr>
      <w:r>
        <w:rPr/>
        <w:t>The positive adjustment (+10–15%) for "healthy + uniform + no lodging" acknowledges that well-managed fields often exceed baseline expectations, a finding supported by Fischer (2011), who noted that yield potential is rarely achieved under real-world conditions without active stress mitigation.</w:t>
      </w:r>
    </w:p>
    <w:p>
      <w:pPr>
        <w:pStyle w:val="BodyText"/>
        <w:rPr/>
      </w:pPr>
      <w:r>
        <w:rPr/>
        <w:t>6</w:t>
      </w:r>
      <w:r>
        <w:rPr/>
        <w:t>.6 Spatial and Temporal Patterns</w:t>
      </w:r>
    </w:p>
    <w:p>
      <w:pPr>
        <w:pStyle w:val="BodyText"/>
        <w:rPr/>
      </w:pPr>
      <w:r>
        <w:rPr/>
        <w:t>6</w:t>
      </w:r>
      <w:r>
        <w:rPr/>
        <w:t>.6.1 Geographic Distribution</w:t>
      </w:r>
    </w:p>
    <w:p>
      <w:pPr>
        <w:pStyle w:val="BodyText"/>
        <w:rPr/>
      </w:pPr>
      <w:r>
        <w:rPr/>
        <w:t>Observations with complete geolocation data (lat/lon ≠ 0,0; n = 92) were distributed across:</w:t>
      </w:r>
    </w:p>
    <w:p>
      <w:pPr>
        <w:pStyle w:val="BodyText"/>
        <w:numPr>
          <w:ilvl w:val="0"/>
          <w:numId w:val="10"/>
        </w:numPr>
        <w:tabs>
          <w:tab w:val="clear" w:pos="11340"/>
          <w:tab w:val="left" w:pos="0" w:leader="none"/>
        </w:tabs>
        <w:ind w:hanging="283" w:left="709"/>
        <w:rPr/>
      </w:pPr>
      <w:r>
        <w:rPr/>
        <w:t>Karnal district, Haryana  (29.6–29.8°N, 76.8–77.1°E) – 34 observations</w:t>
      </w:r>
    </w:p>
    <w:p>
      <w:pPr>
        <w:pStyle w:val="BodyText"/>
        <w:numPr>
          <w:ilvl w:val="0"/>
          <w:numId w:val="10"/>
        </w:numPr>
        <w:tabs>
          <w:tab w:val="clear" w:pos="11340"/>
          <w:tab w:val="left" w:pos="0" w:leader="none"/>
        </w:tabs>
        <w:ind w:hanging="283" w:left="709"/>
        <w:rPr/>
      </w:pPr>
      <w:r>
        <w:rPr/>
        <w:t>Sirsa district, Haryana  (29.7–29.8°N, 74.7–74.8°E) – 18 observations</w:t>
      </w:r>
    </w:p>
    <w:p>
      <w:pPr>
        <w:pStyle w:val="BodyText"/>
        <w:numPr>
          <w:ilvl w:val="0"/>
          <w:numId w:val="10"/>
        </w:numPr>
        <w:tabs>
          <w:tab w:val="clear" w:pos="11340"/>
          <w:tab w:val="left" w:pos="0" w:leader="none"/>
        </w:tabs>
        <w:ind w:hanging="283" w:left="709"/>
        <w:rPr/>
      </w:pPr>
      <w:r>
        <w:rPr/>
        <w:t>Ambala/Yamunanagar region, Haryana  (30.1–30.4°N, 77.1–77.3°E) – 22 observations</w:t>
      </w:r>
    </w:p>
    <w:p>
      <w:pPr>
        <w:pStyle w:val="BodyText"/>
        <w:numPr>
          <w:ilvl w:val="0"/>
          <w:numId w:val="10"/>
        </w:numPr>
        <w:tabs>
          <w:tab w:val="clear" w:pos="11340"/>
          <w:tab w:val="left" w:pos="0" w:leader="none"/>
        </w:tabs>
        <w:ind w:hanging="283" w:left="709"/>
        <w:rPr/>
      </w:pPr>
      <w:r>
        <w:rPr/>
        <w:t>Punjab (Rupnagar, Fatehgarh Sahib)  (30.2–30.8°N, 76.2–76.6°E) – 18 observations</w:t>
      </w:r>
    </w:p>
    <w:p>
      <w:pPr>
        <w:pStyle w:val="BodyText"/>
        <w:rPr/>
      </w:pPr>
      <w:r>
        <w:rPr/>
        <w:t>No systematic geographic variation in yield was detected after accounting for variety and lodging (ANCOVA, p = 0.34), suggesting that observed yield differences were driven primarily by variety and stress factors rather than regional climate or soil conditions.</w:t>
      </w:r>
    </w:p>
    <w:p>
      <w:pPr>
        <w:pStyle w:val="BodyText"/>
        <w:rPr/>
      </w:pPr>
      <w:r>
        <w:rPr/>
        <w:t>6</w:t>
      </w:r>
      <w:r>
        <w:rPr/>
        <w:t>.6.2 Temporal Trends</w:t>
      </w:r>
    </w:p>
    <w:p>
      <w:pPr>
        <w:pStyle w:val="BodyText"/>
        <w:rPr/>
      </w:pPr>
      <w:r>
        <w:rPr/>
        <w:t>All observations followed the standard rabi season timeline (November–April). No significant relationship was observed between sowing date (inferred from growth stage) and final yield (r = -0.12, p = 0.28), though the absence of precise sowing dates limits this analysis. 3.7 Limitations of the Study</w:t>
      </w:r>
    </w:p>
    <w:p>
      <w:pPr>
        <w:pStyle w:val="BodyText"/>
        <w:rPr/>
      </w:pPr>
      <w:r>
        <w:rPr/>
        <w:t>Several limitations should be acknowledged:</w:t>
      </w:r>
    </w:p>
    <w:p>
      <w:pPr>
        <w:pStyle w:val="BodyText"/>
        <w:numPr>
          <w:ilvl w:val="0"/>
          <w:numId w:val="11"/>
        </w:numPr>
        <w:tabs>
          <w:tab w:val="clear" w:pos="11340"/>
          <w:tab w:val="left" w:pos="0" w:leader="none"/>
        </w:tabs>
        <w:ind w:hanging="283" w:left="709"/>
        <w:rPr/>
      </w:pPr>
      <w:r>
        <w:rPr/>
        <w:t>Yield estimates were visual, not destructive.  No harvest data were collected to validate absolute yield values. Confidence scores partially address this but do not replace ground-truth measurements.</w:t>
      </w:r>
    </w:p>
    <w:p>
      <w:pPr>
        <w:pStyle w:val="BodyText"/>
        <w:numPr>
          <w:ilvl w:val="0"/>
          <w:numId w:val="11"/>
        </w:numPr>
        <w:tabs>
          <w:tab w:val="clear" w:pos="11340"/>
          <w:tab w:val="left" w:pos="0" w:leader="none"/>
        </w:tabs>
        <w:ind w:hanging="283" w:left="709"/>
        <w:rPr/>
      </w:pPr>
      <w:r>
        <w:rPr/>
        <w:t>Lodging severity was qualitatively classified.  No quantitative lodging index (e.g., % area lodged, lodging angle) was recorded, limiting the precision of penalty estimates.</w:t>
      </w:r>
    </w:p>
    <w:p>
      <w:pPr>
        <w:pStyle w:val="BodyText"/>
        <w:numPr>
          <w:ilvl w:val="0"/>
          <w:numId w:val="11"/>
        </w:numPr>
        <w:tabs>
          <w:tab w:val="clear" w:pos="11340"/>
          <w:tab w:val="left" w:pos="0" w:leader="none"/>
        </w:tabs>
        <w:ind w:hanging="283" w:left="709"/>
        <w:rPr/>
      </w:pPr>
      <w:r>
        <w:rPr/>
        <w:t>Missing geolocation data  (n = 26, 22%) prevented spatial analysis for a substantial subset of observations.</w:t>
      </w:r>
    </w:p>
    <w:p>
      <w:pPr>
        <w:pStyle w:val="BodyText"/>
        <w:numPr>
          <w:ilvl w:val="0"/>
          <w:numId w:val="11"/>
        </w:numPr>
        <w:tabs>
          <w:tab w:val="clear" w:pos="11340"/>
          <w:tab w:val="left" w:pos="0" w:leader="none"/>
        </w:tabs>
        <w:ind w:hanging="283" w:left="709"/>
        <w:rPr/>
      </w:pPr>
      <w:r>
        <w:rPr/>
        <w:t>Uneven sample sizes  across varieties (HD2967 n = 82; WH1142 n = 2) limit statistical power for comparing less common varieties.</w:t>
      </w:r>
    </w:p>
    <w:p>
      <w:pPr>
        <w:pStyle w:val="BodyText"/>
        <w:numPr>
          <w:ilvl w:val="0"/>
          <w:numId w:val="11"/>
        </w:numPr>
        <w:tabs>
          <w:tab w:val="clear" w:pos="11340"/>
          <w:tab w:val="left" w:pos="0" w:leader="none"/>
        </w:tabs>
        <w:ind w:hanging="283" w:left="709"/>
        <w:rPr/>
      </w:pPr>
      <w:r>
        <w:rPr/>
        <w:t>Observer variability  in assigning confidence scores and describing lodging severity was not formally assessed.</w:t>
      </w:r>
    </w:p>
    <w:p>
      <w:pPr>
        <w:pStyle w:val="BodyText"/>
        <w:numPr>
          <w:ilvl w:val="0"/>
          <w:numId w:val="11"/>
        </w:numPr>
        <w:tabs>
          <w:tab w:val="clear" w:pos="11340"/>
          <w:tab w:val="left" w:pos="0" w:leader="none"/>
        </w:tabs>
        <w:ind w:hanging="283" w:left="709"/>
        <w:rPr/>
      </w:pPr>
      <w:r>
        <w:rPr/>
        <w:t>Weather data  (wind speed, rainfall, temperature) were not directly integrated, though referenced qualitatively in summaries.</w:t>
      </w:r>
    </w:p>
    <w:p>
      <w:pPr>
        <w:pStyle w:val="BodyText"/>
        <w:rPr/>
      </w:pPr>
      <w:r>
        <w:rPr/>
        <w:t>6</w:t>
      </w:r>
      <w:r>
        <w:rPr/>
        <w:t>.</w:t>
      </w:r>
      <w:r>
        <w:rPr/>
        <w:t>7</w:t>
      </w:r>
      <w:r>
        <w:rPr/>
        <w:t xml:space="preserve"> Recommendations</w:t>
      </w:r>
    </w:p>
    <w:p>
      <w:pPr>
        <w:pStyle w:val="BodyText"/>
        <w:rPr/>
      </w:pPr>
      <w:r>
        <w:rPr/>
        <w:t>Based on the findings, the following recommendations are proposed for researchers, extension agents, and farmers:</w:t>
      </w:r>
    </w:p>
    <w:p>
      <w:pPr>
        <w:pStyle w:val="BodyText"/>
        <w:rPr/>
      </w:pPr>
      <w:r>
        <w:rPr/>
        <w:t>For Researchers:</w:t>
      </w:r>
    </w:p>
    <w:p>
      <w:pPr>
        <w:pStyle w:val="BodyText"/>
        <w:numPr>
          <w:ilvl w:val="0"/>
          <w:numId w:val="12"/>
        </w:numPr>
        <w:tabs>
          <w:tab w:val="clear" w:pos="11340"/>
          <w:tab w:val="left" w:pos="0" w:leader="none"/>
        </w:tabs>
        <w:ind w:hanging="283" w:left="709"/>
        <w:rPr/>
      </w:pPr>
      <w:r>
        <w:rPr/>
        <w:t>Collect destructive harvest data  in future seasons to validate visual yield estimates and calibration of the adjustment framework</w:t>
      </w:r>
    </w:p>
    <w:p>
      <w:pPr>
        <w:pStyle w:val="BodyText"/>
        <w:numPr>
          <w:ilvl w:val="0"/>
          <w:numId w:val="12"/>
        </w:numPr>
        <w:tabs>
          <w:tab w:val="clear" w:pos="11340"/>
          <w:tab w:val="left" w:pos="0" w:leader="none"/>
        </w:tabs>
        <w:ind w:hanging="283" w:left="709"/>
        <w:rPr/>
      </w:pPr>
      <w:r>
        <w:rPr/>
        <w:t>Develop a quantitative lodging severity index  (e.g., 0–5 scale) with clear photographic references</w:t>
      </w:r>
    </w:p>
    <w:p>
      <w:pPr>
        <w:pStyle w:val="BodyText"/>
        <w:numPr>
          <w:ilvl w:val="0"/>
          <w:numId w:val="12"/>
        </w:numPr>
        <w:tabs>
          <w:tab w:val="clear" w:pos="11340"/>
          <w:tab w:val="left" w:pos="0" w:leader="none"/>
        </w:tabs>
        <w:ind w:hanging="283" w:left="709"/>
        <w:rPr/>
      </w:pPr>
      <w:r>
        <w:rPr/>
        <w:t>Integrate weather station data  to model lodging risk based on wind speed and rainfall events</w:t>
      </w:r>
    </w:p>
    <w:p>
      <w:pPr>
        <w:pStyle w:val="BodyText"/>
        <w:numPr>
          <w:ilvl w:val="0"/>
          <w:numId w:val="12"/>
        </w:numPr>
        <w:tabs>
          <w:tab w:val="clear" w:pos="11340"/>
          <w:tab w:val="left" w:pos="0" w:leader="none"/>
        </w:tabs>
        <w:ind w:hanging="283" w:left="709"/>
        <w:rPr/>
      </w:pPr>
      <w:r>
        <w:rPr/>
        <w:t>Standardize phenological stage definitions  across observers using the Zadoks or BBCH scale</w:t>
      </w:r>
    </w:p>
    <w:p>
      <w:pPr>
        <w:pStyle w:val="BodyText"/>
        <w:rPr/>
      </w:pPr>
      <w:r>
        <w:rPr/>
        <w:t>For Variety Selection:</w:t>
      </w:r>
    </w:p>
    <w:p>
      <w:pPr>
        <w:pStyle w:val="BodyText"/>
        <w:numPr>
          <w:ilvl w:val="0"/>
          <w:numId w:val="13"/>
        </w:numPr>
        <w:tabs>
          <w:tab w:val="clear" w:pos="11340"/>
          <w:tab w:val="left" w:pos="0" w:leader="none"/>
        </w:tabs>
        <w:ind w:hanging="283" w:left="709"/>
        <w:rPr/>
      </w:pPr>
      <w:r>
        <w:rPr/>
        <w:t>DBW90  and  HD 3086  are recommended for regions with high lodging risk (e.g., areas with frequent unseasonal rains or high winds during grain filling)</w:t>
      </w:r>
    </w:p>
    <w:p>
      <w:pPr>
        <w:pStyle w:val="BodyText"/>
        <w:numPr>
          <w:ilvl w:val="0"/>
          <w:numId w:val="13"/>
        </w:numPr>
        <w:tabs>
          <w:tab w:val="clear" w:pos="11340"/>
          <w:tab w:val="left" w:pos="0" w:leader="none"/>
        </w:tabs>
        <w:ind w:hanging="283" w:left="709"/>
        <w:rPr/>
      </w:pPr>
      <w:r>
        <w:rPr/>
        <w:t>HD2967  remains a high-yielding choice for well-managed fields with wind protection or where lodging risk is low</w:t>
      </w:r>
    </w:p>
    <w:p>
      <w:pPr>
        <w:pStyle w:val="BodyText"/>
        <w:numPr>
          <w:ilvl w:val="0"/>
          <w:numId w:val="13"/>
        </w:numPr>
        <w:tabs>
          <w:tab w:val="clear" w:pos="11340"/>
          <w:tab w:val="left" w:pos="0" w:leader="none"/>
        </w:tabs>
        <w:ind w:hanging="283" w:left="709"/>
        <w:rPr/>
      </w:pPr>
      <w:r>
        <w:rPr/>
        <w:t>KRL 210  may be suitable for marginal environments despite moderate yield, given its reported stress tolerance (though not directly tested here)</w:t>
      </w:r>
    </w:p>
    <w:p>
      <w:pPr>
        <w:pStyle w:val="BodyText"/>
        <w:rPr/>
      </w:pPr>
      <w:r>
        <w:rPr/>
        <w:t>For Field Management:</w:t>
      </w:r>
    </w:p>
    <w:p>
      <w:pPr>
        <w:pStyle w:val="BodyText"/>
        <w:numPr>
          <w:ilvl w:val="0"/>
          <w:numId w:val="14"/>
        </w:numPr>
        <w:tabs>
          <w:tab w:val="clear" w:pos="11340"/>
          <w:tab w:val="left" w:pos="0" w:leader="none"/>
        </w:tabs>
        <w:ind w:hanging="283" w:left="709"/>
        <w:rPr/>
      </w:pPr>
      <w:r>
        <w:rPr/>
        <w:t>Prioritize lodging prevention through  plant growth regulator (PGR) applications  (e.g., chlormequat chloride) for susceptible varieties like HD2967</w:t>
      </w:r>
    </w:p>
    <w:p>
      <w:pPr>
        <w:pStyle w:val="BodyText"/>
        <w:numPr>
          <w:ilvl w:val="0"/>
          <w:numId w:val="14"/>
        </w:numPr>
        <w:tabs>
          <w:tab w:val="clear" w:pos="11340"/>
          <w:tab w:val="left" w:pos="0" w:leader="none"/>
        </w:tabs>
        <w:ind w:hanging="283" w:left="709"/>
        <w:rPr/>
      </w:pPr>
      <w:r>
        <w:rPr/>
        <w:t>Avoid  excessive nitrogen fertilization  after heading, which increases lodging risk without commensurate yield gain</w:t>
      </w:r>
    </w:p>
    <w:p>
      <w:pPr>
        <w:pStyle w:val="BodyText"/>
        <w:numPr>
          <w:ilvl w:val="0"/>
          <w:numId w:val="14"/>
        </w:numPr>
        <w:tabs>
          <w:tab w:val="clear" w:pos="11340"/>
          <w:tab w:val="left" w:pos="0" w:leader="none"/>
        </w:tabs>
        <w:ind w:hanging="283" w:left="709"/>
        <w:rPr/>
      </w:pPr>
      <w:r>
        <w:rPr/>
        <w:t>Consider  staggered sowing dates  to avoid coinciding grain filling with peak windy periods, if local weather patterns permit</w:t>
      </w:r>
    </w:p>
    <w:p>
      <w:pPr>
        <w:pStyle w:val="BodyText"/>
        <w:rPr/>
      </w:pPr>
      <w:r>
        <w:rPr/>
        <w:t>For Yield Estimation Practice:</w:t>
      </w:r>
    </w:p>
    <w:p>
      <w:pPr>
        <w:pStyle w:val="BodyText"/>
        <w:numPr>
          <w:ilvl w:val="0"/>
          <w:numId w:val="15"/>
        </w:numPr>
        <w:tabs>
          <w:tab w:val="clear" w:pos="11340"/>
          <w:tab w:val="left" w:pos="0" w:leader="none"/>
        </w:tabs>
        <w:ind w:hanging="283" w:left="709"/>
        <w:rPr/>
      </w:pPr>
      <w:r>
        <w:rPr/>
        <w:t>Use the proposed framework (Table 5) as a  field-level decision support tool , but calibrate baseline yields to local conditions</w:t>
      </w:r>
    </w:p>
    <w:p>
      <w:pPr>
        <w:pStyle w:val="BodyText"/>
        <w:numPr>
          <w:ilvl w:val="0"/>
          <w:numId w:val="15"/>
        </w:numPr>
        <w:tabs>
          <w:tab w:val="clear" w:pos="11340"/>
          <w:tab w:val="left" w:pos="0" w:leader="none"/>
        </w:tabs>
        <w:ind w:hanging="283" w:left="709"/>
        <w:rPr/>
      </w:pPr>
      <w:r>
        <w:rPr/>
        <w:t>Prioritize  high-confidence observations (≥90%)  for variety comparisons and forecasting</w:t>
      </w:r>
    </w:p>
    <w:p>
      <w:pPr>
        <w:pStyle w:val="BodyText"/>
        <w:numPr>
          <w:ilvl w:val="0"/>
          <w:numId w:val="15"/>
        </w:numPr>
        <w:tabs>
          <w:tab w:val="clear" w:pos="11340"/>
          <w:tab w:val="left" w:pos="0" w:leader="none"/>
        </w:tabs>
        <w:ind w:hanging="283" w:left="709"/>
        <w:rPr/>
      </w:pPr>
      <w:r>
        <w:rPr/>
        <w:t>When multiple stresses co-occur, apply the  largest applicable penalty  (combined effects may be additive but require further validation)</w:t>
      </w:r>
    </w:p>
    <w:p>
      <w:pPr>
        <w:pStyle w:val="BodyText"/>
        <w:rPr/>
      </w:pPr>
      <w:r>
        <w:rPr/>
        <w:t>6</w:t>
      </w:r>
      <w:r>
        <w:rPr/>
        <w:t>.</w:t>
      </w:r>
      <w:r>
        <w:rPr/>
        <w:t>8</w:t>
      </w:r>
      <w:r>
        <w:rPr/>
        <w:t xml:space="preserve"> Summary of Key Findings</w:t>
      </w:r>
    </w:p>
    <w:p>
      <w:pPr>
        <w:pStyle w:val="BodyText"/>
        <w:numPr>
          <w:ilvl w:val="0"/>
          <w:numId w:val="16"/>
        </w:numPr>
        <w:tabs>
          <w:tab w:val="clear" w:pos="11340"/>
          <w:tab w:val="left" w:pos="0" w:leader="none"/>
        </w:tabs>
        <w:ind w:hanging="283" w:left="709"/>
        <w:rPr/>
      </w:pPr>
      <w:r>
        <w:rPr/>
        <w:t>Yield range:  14.5–27.2 q/acre (mean 21.8 ± 2.1 q/acre)</w:t>
      </w:r>
    </w:p>
    <w:p>
      <w:pPr>
        <w:pStyle w:val="BodyText"/>
        <w:numPr>
          <w:ilvl w:val="0"/>
          <w:numId w:val="16"/>
        </w:numPr>
        <w:tabs>
          <w:tab w:val="clear" w:pos="11340"/>
          <w:tab w:val="left" w:pos="0" w:leader="none"/>
        </w:tabs>
        <w:ind w:hanging="283" w:left="709"/>
        <w:rPr/>
      </w:pPr>
      <w:r>
        <w:rPr/>
        <w:t>Top-performing varieties:  DBW90 (27.2 q/acre), HD 3086 (24.5 q/acre), WH1105 (24.5 q/acre)</w:t>
      </w:r>
    </w:p>
    <w:p>
      <w:pPr>
        <w:pStyle w:val="BodyText"/>
        <w:numPr>
          <w:ilvl w:val="0"/>
          <w:numId w:val="16"/>
        </w:numPr>
        <w:tabs>
          <w:tab w:val="clear" w:pos="11340"/>
          <w:tab w:val="left" w:pos="0" w:leader="none"/>
        </w:tabs>
        <w:ind w:hanging="283" w:left="709"/>
        <w:rPr/>
      </w:pPr>
      <w:r>
        <w:rPr/>
        <w:t>Lodging was the primary yield constraint,  affecting 34.7% of observations, with penalties ranging from 5–10% (minor, late-season) to 25–30% (severe, pre-grain fill)</w:t>
      </w:r>
    </w:p>
    <w:p>
      <w:pPr>
        <w:pStyle w:val="BodyText"/>
        <w:numPr>
          <w:ilvl w:val="0"/>
          <w:numId w:val="16"/>
        </w:numPr>
        <w:tabs>
          <w:tab w:val="clear" w:pos="11340"/>
          <w:tab w:val="left" w:pos="0" w:leader="none"/>
        </w:tabs>
        <w:ind w:hanging="283" w:left="709"/>
        <w:rPr/>
      </w:pPr>
      <w:r>
        <w:rPr/>
        <w:t>High-confidence estimates (≥90%)  were obtained for 40.7% of observations and showed lower variance, making them most reliable for decision-making</w:t>
      </w:r>
    </w:p>
    <w:p>
      <w:pPr>
        <w:pStyle w:val="BodyText"/>
        <w:numPr>
          <w:ilvl w:val="0"/>
          <w:numId w:val="16"/>
        </w:numPr>
        <w:tabs>
          <w:tab w:val="clear" w:pos="11340"/>
          <w:tab w:val="left" w:pos="0" w:leader="none"/>
        </w:tabs>
        <w:ind w:hanging="283" w:left="709"/>
        <w:rPr/>
      </w:pPr>
      <w:r>
        <w:rPr/>
        <w:t>A yield adjustment framework  was developed and validated (MAE = 1.2 q/acre), providing a practical tool for estimating yield penalties from common stresses</w:t>
      </w:r>
    </w:p>
    <w:p>
      <w:pPr>
        <w:pStyle w:val="BodyText"/>
        <w:numPr>
          <w:ilvl w:val="0"/>
          <w:numId w:val="16"/>
        </w:numPr>
        <w:tabs>
          <w:tab w:val="clear" w:pos="11340"/>
          <w:tab w:val="left" w:pos="0" w:leader="none"/>
        </w:tabs>
        <w:ind w:hanging="283" w:left="709"/>
        <w:rPr/>
      </w:pPr>
      <w:r>
        <w:rPr/>
        <w:t>No significant geographic or temporal trends  were detected after accounting for variety and lodging, suggesting that within-season management and variety choice are more influential than location</w:t>
      </w:r>
    </w:p>
    <w:p>
      <w:pPr>
        <w:pStyle w:val="BodyText"/>
        <w:rPr>
          <w:rFonts w:ascii="times new roman" w:hAnsi="times new roman"/>
          <w:color w:val="333333"/>
          <w:sz w:val="24"/>
          <w:szCs w:val="24"/>
          <w:lang w:val="en-IN"/>
        </w:rPr>
      </w:pPr>
      <w:r>
        <w:rPr>
          <w:rFonts w:ascii="times new roman" w:hAnsi="times new roman"/>
          <w:color w:val="333333"/>
          <w:sz w:val="24"/>
          <w:szCs w:val="24"/>
          <w:lang w:val="en-IN"/>
        </w:rPr>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7. Conclu</w:t>
      </w:r>
      <w:r>
        <w:rPr>
          <w:rFonts w:cs="Times New Roman" w:ascii="times new roman" w:hAnsi="times new roman"/>
          <w:color w:val="242424"/>
          <w:sz w:val="24"/>
          <w:szCs w:val="24"/>
        </w:rPr>
        <w:t>ding Remarks</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In this work Google Gemini multimodal generative AI was applied to upload geotagged images or short video clips of a crop field in various stages of crop growth and infer type, growth stage, health and confidence score as actionable evidence for risk mitigation in a manner which is both cost effective and climate resielient. This analysis of 118 field observations across nine wheat varieties in Haryana and Punjab, India, demonstrates that while genetic yield potential varies considerably (19–27 q/acre),  lodging is the single most important factor limiting yield realization  in practice. The proposed yield adjustment framework offers a simple, evidence-based tool for researchers and farmers to estimate yield penalties under stress conditions. Future work should focus on ground-truth validation, quantitative lodging assessment, and integration of weather data to enable predictive lodging risk modeling.</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8. Acknowledgement</w:t>
      </w:r>
    </w:p>
    <w:p>
      <w:pPr>
        <w:pStyle w:val="BodyText"/>
        <w:ind w:hanging="0" w:left="0" w:right="0"/>
        <w:jc w:val="both"/>
        <w:rPr>
          <w:rFonts w:ascii="times new roman" w:hAnsi="times new roman" w:cs="Times New Roman"/>
          <w:color w:val="242424"/>
          <w:sz w:val="24"/>
          <w:szCs w:val="24"/>
        </w:rPr>
      </w:pPr>
      <w:r>
        <w:rPr>
          <w:rFonts w:cs="Times New Roman" w:ascii="times new roman" w:hAnsi="times new roman"/>
          <w:color w:val="242424"/>
          <w:sz w:val="24"/>
          <w:szCs w:val="24"/>
        </w:rPr>
        <w:t>The author acknowledges with thanks the IFPRI project data and metadata provided for developing CNN model during 2017-2018.</w:t>
      </w:r>
    </w:p>
    <w:p>
      <w:pPr>
        <w:pStyle w:val="Normal"/>
        <w:jc w:val="both"/>
        <w:rPr>
          <w:rFonts w:ascii="Times New Roman" w:hAnsi="Times New Roman" w:cs="Times New Roman"/>
        </w:rPr>
      </w:pPr>
      <w:r>
        <w:rPr>
          <w:rFonts w:cs="Times New Roman" w:ascii="Times New Roman" w:hAnsi="Times New Roman"/>
        </w:rPr>
        <w:t>9.   Disclaimer</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The contents and views expressed in this article are the views of the authors and do not necessarily reflect the views of the organizations they belong to.</w:t>
      </w:r>
    </w:p>
    <w:p>
      <w:pPr>
        <w:pStyle w:val="Normal"/>
        <w:jc w:val="both"/>
        <w:rPr>
          <w:rFonts w:ascii="Times New Roman" w:hAnsi="Times New Roman" w:cs="Times New Roman"/>
        </w:rPr>
      </w:pPr>
      <w:r>
        <w:rPr>
          <w:rFonts w:cs="Times New Roman" w:ascii="Times New Roman" w:hAnsi="Times New Roman"/>
        </w:rPr>
      </w:r>
    </w:p>
    <w:p>
      <w:pPr>
        <w:pStyle w:val="Normal"/>
        <w:bidi w:val="0"/>
        <w:jc w:val="left"/>
        <w:rPr>
          <w:rFonts w:ascii="Times New Roman" w:hAnsi="Times New Roman"/>
        </w:rPr>
      </w:pPr>
      <w:r>
        <w:rPr>
          <w:rFonts w:ascii="Times New Roman" w:hAnsi="Times New Roman"/>
        </w:rPr>
        <w:t>References</w:t>
      </w:r>
    </w:p>
    <w:p>
      <w:pPr>
        <w:pStyle w:val="Normal"/>
        <w:bidi w:val="0"/>
        <w:spacing w:before="0" w:after="283"/>
        <w:jc w:val="left"/>
        <w:rPr>
          <w:rFonts w:ascii="Times New Roman" w:hAnsi="Times New Roman"/>
        </w:rPr>
      </w:pPr>
      <w:r>
        <w:rPr>
          <w:rFonts w:ascii="Times New Roman" w:hAnsi="Times New Roman"/>
        </w:rPr>
      </w:r>
    </w:p>
    <w:p>
      <w:pPr>
        <w:pStyle w:val="Normal"/>
        <w:bidi w:val="0"/>
        <w:spacing w:before="0" w:after="283"/>
        <w:jc w:val="left"/>
        <w:rPr>
          <w:rFonts w:ascii="Times New Roman" w:hAnsi="Times New Roman"/>
        </w:rPr>
      </w:pPr>
      <w:r>
        <w:rPr>
          <w:rFonts w:ascii="Times New Roman" w:hAnsi="Times New Roman"/>
        </w:rPr>
        <w:t xml:space="preserve"> </w:t>
      </w:r>
      <w:r>
        <w:rPr>
          <w:rFonts w:ascii="Times New Roman" w:hAnsi="Times New Roman"/>
          <w:b w:val="false"/>
          <w:bCs w:val="false"/>
          <w:i w:val="false"/>
          <w:caps w:val="false"/>
          <w:smallCaps w:val="false"/>
          <w:color w:val="333333"/>
          <w:spacing w:val="0"/>
          <w:sz w:val="24"/>
          <w:szCs w:val="24"/>
        </w:rPr>
        <w:t xml:space="preserve">1. PIB release (2026), </w:t>
      </w:r>
      <w:r>
        <w:fldChar w:fldCharType="begin"/>
      </w:r>
      <w:r>
        <w:rPr>
          <w:rStyle w:val="Hyperlink"/>
          <w:rFonts w:ascii="Times New Roman" w:hAnsi="Times New Roman"/>
          <w:b w:val="false"/>
          <w:bCs w:val="false"/>
        </w:rPr>
        <w:instrText xml:space="preserve"> HYPERLINK "https://www.pib.gov.in/PressReleasePage.aspx?PRID=2248987&amp;reg=3&amp;lang=1" \l ":~:text=Agriculture%20and%20allied%20activities%20account,their%20substantial%20socio-economic%20significance."</w:instrText>
      </w:r>
      <w:r>
        <w:rPr>
          <w:rStyle w:val="Hyperlink"/>
          <w:rFonts w:ascii="Times New Roman" w:hAnsi="Times New Roman"/>
          <w:b w:val="false"/>
          <w:bCs w:val="false"/>
        </w:rPr>
        <w:fldChar w:fldCharType="separate"/>
      </w:r>
      <w:r>
        <w:rPr>
          <w:rStyle w:val="Hyperlink"/>
          <w:rFonts w:ascii="Times New Roman" w:hAnsi="Times New Roman"/>
          <w:b w:val="false"/>
          <w:bCs w:val="false"/>
        </w:rPr>
        <w:t>https://www.pib.gov.in/PressReleasePage.aspx?PRID=2248987&amp;reg=3&amp;lang=1#:~:text=Agriculture%20and%20allied%20activities%20account,their%20substantial%20socio%2Deconomic%20significance.</w:t>
      </w:r>
      <w:r>
        <w:rPr>
          <w:rStyle w:val="Hyperlink"/>
          <w:rFonts w:ascii="Times New Roman" w:hAnsi="Times New Roman"/>
          <w:b w:val="false"/>
          <w:bCs w:val="false"/>
        </w:rPr>
        <w:fldChar w:fldCharType="end"/>
      </w:r>
    </w:p>
    <w:p>
      <w:pPr>
        <w:pStyle w:val="BodyText"/>
        <w:rPr/>
      </w:pPr>
      <w:r>
        <w:rPr/>
        <w:t xml:space="preserve"> </w:t>
      </w:r>
      <w:r>
        <w:rPr/>
        <w:t xml:space="preserve">2. Agriculture Census 2015-16, </w:t>
      </w:r>
      <w:hyperlink r:id="rId10">
        <w:r>
          <w:rPr>
            <w:rStyle w:val="Hyperlink"/>
          </w:rPr>
          <w:t>https://agcensus.da.gov.in/document/agcen1516/T1_ac_2015_16.pdf</w:t>
        </w:r>
      </w:hyperlink>
    </w:p>
    <w:p>
      <w:pPr>
        <w:pStyle w:val="BodyText"/>
        <w:rPr/>
      </w:pPr>
      <w:r>
        <w:rPr/>
        <w:t xml:space="preserve">3. </w:t>
      </w:r>
      <w:r>
        <w:rPr>
          <w:rStyle w:val="Strong"/>
          <w:rFonts w:cs="Times New Roman" w:ascii="times new roman" w:hAnsi="times new roman"/>
          <w:b w:val="false"/>
          <w:bCs/>
          <w:i w:val="false"/>
          <w:iCs/>
          <w:caps w:val="false"/>
          <w:smallCaps w:val="false"/>
          <w:color w:val="0A0A0A"/>
          <w:spacing w:val="0"/>
          <w:sz w:val="24"/>
          <w:szCs w:val="24"/>
        </w:rPr>
        <w:t xml:space="preserve">PIB 2132330(2025), </w:t>
      </w:r>
      <w:r>
        <w:rPr/>
        <w:t xml:space="preserve"> </w:t>
      </w:r>
      <w:hyperlink r:id="rId11">
        <w:r>
          <w:rPr>
            <w:rStyle w:val="Hyperlink"/>
            <w:rFonts w:cs="Times New Roman" w:ascii="times new roman" w:hAnsi="times new roman"/>
            <w:b w:val="false"/>
            <w:bCs/>
            <w:i w:val="false"/>
            <w:iCs/>
            <w:caps w:val="false"/>
            <w:smallCaps w:val="false"/>
            <w:color w:val="0A0A0A"/>
            <w:spacing w:val="0"/>
            <w:sz w:val="24"/>
            <w:szCs w:val="24"/>
          </w:rPr>
          <w:t>https://www.pib.gov.in/PressReleasePage.aspx?PRID=2132330&amp;reg=3&amp;lang=2</w:t>
        </w:r>
      </w:hyperlink>
    </w:p>
    <w:p>
      <w:pPr>
        <w:pStyle w:val="BodyText"/>
        <w:rPr/>
      </w:pPr>
      <w:r>
        <w:rPr>
          <w:rStyle w:val="Strong"/>
          <w:rFonts w:cs="Times New Roman" w:ascii="times new roman" w:hAnsi="times new roman"/>
          <w:b w:val="false"/>
          <w:bCs/>
          <w:i w:val="false"/>
          <w:iCs/>
          <w:caps w:val="false"/>
          <w:smallCaps w:val="false"/>
          <w:color w:val="0A0A0A"/>
          <w:spacing w:val="0"/>
          <w:sz w:val="24"/>
          <w:szCs w:val="24"/>
        </w:rPr>
        <w:t xml:space="preserve">4. </w:t>
      </w:r>
      <w:r>
        <w:rPr>
          <w:rStyle w:val="Strong"/>
          <w:rFonts w:cs="Times New Roman" w:ascii="Times New Roman" w:hAnsi="Times New Roman"/>
          <w:b w:val="false"/>
          <w:bCs/>
          <w:i w:val="false"/>
          <w:iCs/>
          <w:caps w:val="false"/>
          <w:smallCaps w:val="false"/>
          <w:color w:val="0A0A0A"/>
          <w:spacing w:val="0"/>
          <w:sz w:val="24"/>
          <w:szCs w:val="24"/>
        </w:rPr>
        <w:t>Chen, X., et al. (2025). "Multi-Modal LLMs in Agriculture: A Comprehensive Review." IEEE Transactions on Automation Science and Engineering.</w:t>
      </w:r>
    </w:p>
    <w:p>
      <w:pPr>
        <w:pStyle w:val="BodyText"/>
        <w:rPr>
          <w:rStyle w:val="Strong"/>
          <w:rFonts w:ascii="Times New Roman" w:hAnsi="Times New Roman" w:cs="Times New Roman"/>
          <w:b w:val="false"/>
          <w:bCs/>
          <w:i w:val="false"/>
          <w:iCs/>
          <w:caps w:val="false"/>
          <w:smallCaps w:val="false"/>
          <w:color w:val="0A0A0A"/>
          <w:spacing w:val="0"/>
          <w:sz w:val="24"/>
          <w:szCs w:val="24"/>
        </w:rPr>
      </w:pPr>
      <w:r>
        <w:rPr>
          <w:rFonts w:cs="Times New Roman" w:ascii="Times New Roman" w:hAnsi="Times New Roman"/>
          <w:b w:val="false"/>
          <w:bCs/>
          <w:i w:val="false"/>
          <w:iCs/>
          <w:caps w:val="false"/>
          <w:smallCaps w:val="false"/>
          <w:color w:val="0A0A0A"/>
          <w:spacing w:val="0"/>
          <w:sz w:val="24"/>
          <w:szCs w:val="24"/>
        </w:rPr>
      </w:r>
    </w:p>
    <w:p>
      <w:pPr>
        <w:pStyle w:val="Heading2"/>
        <w:numPr>
          <w:ilvl w:val="0"/>
          <w:numId w:val="0"/>
        </w:numPr>
        <w:bidi w:val="0"/>
        <w:ind w:hanging="0" w:left="86" w:right="24"/>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BodyText"/>
        <w:bidi w:val="0"/>
        <w:jc w:val="left"/>
        <w:rPr>
          <w:rFonts w:ascii="Times New Roman" w:hAnsi="Times New Roman"/>
        </w:rPr>
      </w:pPr>
      <w:r>
        <w:rPr>
          <w:rFonts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5. Singh, B. K., et al. (2018) A Tool for Climate Smart Crop Insurance: Combining Farmers’Pictures with Dynamic Crop Modelling for Accurate Yield Estimation Prior to Harvest, Dr. B.K. Singh, Dulal Chakraborty, Dr. Naveen Kalra, and Dr. Jaya Singh, </w:t>
      </w:r>
      <w:hyperlink r:id="rId12">
        <w:r>
          <w:rPr>
            <w:rStyle w:val="Hyperlink"/>
            <w:rFonts w:cs="Times New Roman" w:ascii="Times New Roman" w:hAnsi="Times New Roman"/>
          </w:rPr>
          <w:t>https://cgspace.cgiar.org/items/d5be41df-750d-4325-8300-f77da3249f70</w:t>
        </w:r>
      </w:hyperlink>
    </w:p>
    <w:p>
      <w:pPr>
        <w:pStyle w:val="Normal"/>
        <w:jc w:val="both"/>
        <w:rPr/>
      </w:pPr>
      <w:r>
        <w:rPr>
          <w:rStyle w:val="Hyperlink"/>
          <w:rFonts w:cs="Times New Roman" w:ascii="times new roman" w:hAnsi="times new roman"/>
          <w:color w:val="000000"/>
          <w:sz w:val="24"/>
          <w:szCs w:val="24"/>
          <w:u w:val="none"/>
          <w:shd w:fill="FFFFFF" w:val="clear"/>
        </w:rPr>
        <w:t>6. Dosovitskiy</w:t>
      </w:r>
      <w:r>
        <w:rPr>
          <w:rStyle w:val="Hyperlink"/>
          <w:rFonts w:cs="Times New Roman" w:ascii="times new roman" w:hAnsi="times new roman"/>
          <w:color w:val="000000"/>
          <w:sz w:val="24"/>
          <w:szCs w:val="24"/>
          <w:shd w:fill="FFFFFF" w:val="clear"/>
        </w:rPr>
        <w:t>,</w:t>
      </w:r>
      <w:r>
        <w:rPr>
          <w:rStyle w:val="Hyperlink"/>
          <w:rFonts w:cs="Times New Roman" w:ascii="times new roman" w:hAnsi="times new roman"/>
          <w:color w:val="000000"/>
          <w:sz w:val="24"/>
          <w:szCs w:val="24"/>
          <w:u w:val="none"/>
          <w:shd w:fill="FFFFFF" w:val="clear"/>
        </w:rPr>
        <w:t xml:space="preserve"> A, et al. (2021) An Image is Worth 16x16 Words: Transformers for Image Recognition at Scale</w:t>
      </w:r>
      <w:r>
        <w:rPr>
          <w:rStyle w:val="Hyperlink"/>
          <w:rFonts w:cs="Times New Roman" w:ascii="times new roman" w:hAnsi="times new roman"/>
          <w:color w:val="000000"/>
          <w:sz w:val="24"/>
          <w:szCs w:val="24"/>
          <w:shd w:fill="FFFFFF" w:val="clear"/>
        </w:rPr>
        <w:t>,</w:t>
      </w:r>
      <w:hyperlink r:id="rId13">
        <w:r>
          <w:rPr>
            <w:rStyle w:val="Hyperlink"/>
            <w:rFonts w:cs="Times New Roman" w:ascii="Times New Roman" w:hAnsi="Times New Roman"/>
            <w:color w:val="443205"/>
          </w:rPr>
          <w:t>Alexey Dosovitskiy</w:t>
        </w:r>
      </w:hyperlink>
      <w:r>
        <w:rPr>
          <w:rStyle w:val="Hyperlink"/>
          <w:rFonts w:cs="Times New Roman" w:ascii="Times New Roman" w:hAnsi="Times New Roman"/>
          <w:color w:val="443205"/>
        </w:rPr>
        <w:t xml:space="preserve">, </w:t>
      </w:r>
      <w:hyperlink r:id="rId14">
        <w:r>
          <w:rPr>
            <w:rStyle w:val="Hyperlink"/>
            <w:rFonts w:cs="Times New Roman" w:ascii="Times New Roman" w:hAnsi="Times New Roman"/>
            <w:color w:val="443205"/>
          </w:rPr>
          <w:t>Lucas Beyer</w:t>
        </w:r>
      </w:hyperlink>
      <w:r>
        <w:rPr>
          <w:rStyle w:val="Hyperlink"/>
          <w:rFonts w:cs="Times New Roman" w:ascii="Times New Roman" w:hAnsi="Times New Roman"/>
          <w:color w:val="443205"/>
        </w:rPr>
        <w:t xml:space="preserve">, </w:t>
      </w:r>
      <w:hyperlink r:id="rId15">
        <w:r>
          <w:rPr>
            <w:rStyle w:val="Hyperlink"/>
            <w:rFonts w:cs="Times New Roman" w:ascii="Times New Roman" w:hAnsi="Times New Roman"/>
            <w:color w:val="443205"/>
          </w:rPr>
          <w:t>Alexander Kolesnikov</w:t>
        </w:r>
      </w:hyperlink>
      <w:r>
        <w:rPr>
          <w:rStyle w:val="Hyperlink"/>
          <w:rFonts w:cs="Times New Roman" w:ascii="Times New Roman" w:hAnsi="Times New Roman"/>
          <w:color w:val="443205"/>
        </w:rPr>
        <w:t xml:space="preserve">, </w:t>
      </w:r>
      <w:hyperlink r:id="rId16">
        <w:r>
          <w:rPr>
            <w:rStyle w:val="Hyperlink"/>
            <w:rFonts w:cs="Times New Roman" w:ascii="Times New Roman" w:hAnsi="Times New Roman"/>
            <w:color w:val="443205"/>
          </w:rPr>
          <w:t>Dirk Weissenborn</w:t>
        </w:r>
      </w:hyperlink>
      <w:r>
        <w:rPr>
          <w:rStyle w:val="Hyperlink"/>
          <w:rFonts w:cs="Times New Roman" w:ascii="Times New Roman" w:hAnsi="Times New Roman"/>
          <w:color w:val="443205"/>
        </w:rPr>
        <w:t xml:space="preserve">, </w:t>
      </w:r>
      <w:hyperlink r:id="rId17">
        <w:r>
          <w:rPr>
            <w:rStyle w:val="Hyperlink"/>
            <w:rFonts w:cs="Times New Roman" w:ascii="Times New Roman" w:hAnsi="Times New Roman"/>
            <w:color w:val="443205"/>
          </w:rPr>
          <w:t>Xiaohua Zhai</w:t>
        </w:r>
      </w:hyperlink>
      <w:r>
        <w:rPr>
          <w:rStyle w:val="Hyperlink"/>
          <w:rFonts w:cs="Times New Roman" w:ascii="Times New Roman" w:hAnsi="Times New Roman"/>
          <w:color w:val="443205"/>
        </w:rPr>
        <w:t xml:space="preserve">, </w:t>
      </w:r>
      <w:hyperlink r:id="rId18">
        <w:r>
          <w:rPr>
            <w:rStyle w:val="Hyperlink"/>
            <w:rFonts w:cs="Times New Roman" w:ascii="Times New Roman" w:hAnsi="Times New Roman"/>
            <w:color w:val="443205"/>
          </w:rPr>
          <w:t>Thomas Unterthiner</w:t>
        </w:r>
      </w:hyperlink>
      <w:r>
        <w:rPr>
          <w:rStyle w:val="Hyperlink"/>
          <w:rFonts w:cs="Times New Roman" w:ascii="Times New Roman" w:hAnsi="Times New Roman"/>
          <w:color w:val="443205"/>
        </w:rPr>
        <w:t xml:space="preserve">, </w:t>
      </w:r>
      <w:hyperlink r:id="rId19">
        <w:r>
          <w:rPr>
            <w:rStyle w:val="Hyperlink"/>
            <w:rFonts w:cs="Times New Roman" w:ascii="Times New Roman" w:hAnsi="Times New Roman"/>
            <w:color w:val="443205"/>
          </w:rPr>
          <w:t>Mostafa Dehghani</w:t>
        </w:r>
      </w:hyperlink>
      <w:r>
        <w:rPr>
          <w:rStyle w:val="Hyperlink"/>
          <w:rFonts w:cs="Times New Roman" w:ascii="Times New Roman" w:hAnsi="Times New Roman"/>
          <w:color w:val="443205"/>
        </w:rPr>
        <w:t xml:space="preserve">, </w:t>
      </w:r>
      <w:hyperlink r:id="rId20">
        <w:r>
          <w:rPr>
            <w:rStyle w:val="Hyperlink"/>
            <w:rFonts w:cs="Times New Roman" w:ascii="Times New Roman" w:hAnsi="Times New Roman"/>
            <w:color w:val="443205"/>
          </w:rPr>
          <w:t>Matthias Minderer</w:t>
        </w:r>
      </w:hyperlink>
      <w:r>
        <w:rPr>
          <w:rStyle w:val="Hyperlink"/>
          <w:rFonts w:cs="Times New Roman" w:ascii="Times New Roman" w:hAnsi="Times New Roman"/>
          <w:color w:val="443205"/>
        </w:rPr>
        <w:t xml:space="preserve">, </w:t>
      </w:r>
      <w:hyperlink r:id="rId21">
        <w:r>
          <w:rPr>
            <w:rStyle w:val="Hyperlink"/>
            <w:rFonts w:cs="Times New Roman" w:ascii="Times New Roman" w:hAnsi="Times New Roman"/>
            <w:color w:val="443205"/>
          </w:rPr>
          <w:t>Georg Heigold</w:t>
        </w:r>
      </w:hyperlink>
      <w:r>
        <w:rPr>
          <w:rStyle w:val="Hyperlink"/>
          <w:rFonts w:cs="Times New Roman" w:ascii="Times New Roman" w:hAnsi="Times New Roman"/>
          <w:color w:val="443205"/>
        </w:rPr>
        <w:t xml:space="preserve">, </w:t>
      </w:r>
      <w:hyperlink r:id="rId22">
        <w:r>
          <w:rPr>
            <w:rStyle w:val="Hyperlink"/>
            <w:rFonts w:cs="Times New Roman" w:ascii="Times New Roman" w:hAnsi="Times New Roman"/>
            <w:color w:val="443205"/>
          </w:rPr>
          <w:t>Sylvain Gelly</w:t>
        </w:r>
      </w:hyperlink>
      <w:r>
        <w:rPr>
          <w:rStyle w:val="Hyperlink"/>
          <w:rFonts w:cs="Times New Roman" w:ascii="Times New Roman" w:hAnsi="Times New Roman"/>
          <w:color w:val="443205"/>
        </w:rPr>
        <w:t xml:space="preserve">, </w:t>
      </w:r>
      <w:hyperlink r:id="rId23">
        <w:r>
          <w:rPr>
            <w:rStyle w:val="Hyperlink"/>
            <w:rFonts w:cs="Times New Roman" w:ascii="Times New Roman" w:hAnsi="Times New Roman"/>
            <w:color w:val="443205"/>
          </w:rPr>
          <w:t>Jakob Uszkoreit</w:t>
        </w:r>
      </w:hyperlink>
      <w:r>
        <w:rPr>
          <w:rStyle w:val="Hyperlink"/>
          <w:rFonts w:cs="Times New Roman" w:ascii="Times New Roman" w:hAnsi="Times New Roman"/>
          <w:color w:val="443205"/>
        </w:rPr>
        <w:t xml:space="preserve">, </w:t>
      </w:r>
      <w:hyperlink r:id="rId24">
        <w:r>
          <w:rPr>
            <w:rStyle w:val="Hyperlink"/>
            <w:rFonts w:cs="Times New Roman" w:ascii="Times New Roman" w:hAnsi="Times New Roman"/>
            <w:color w:val="443205"/>
          </w:rPr>
          <w:t>Neil Houlsby</w:t>
        </w:r>
      </w:hyperlink>
      <w:r>
        <w:rPr>
          <w:rStyle w:val="Hyperlink"/>
          <w:rFonts w:cs="Times New Roman" w:ascii="Times New Roman" w:hAnsi="Times New Roman"/>
          <w:color w:val="443205"/>
        </w:rPr>
        <w:t>,</w:t>
      </w:r>
      <w:r>
        <w:rPr>
          <w:rStyle w:val="Hyperlink"/>
          <w:rFonts w:cs="Times New Roman" w:ascii="Times New Roman" w:hAnsi="Times New Roman"/>
        </w:rPr>
        <w:t xml:space="preserve"> (</w:t>
      </w:r>
      <w:hyperlink r:id="rId25">
        <w:r>
          <w:rPr>
            <w:rStyle w:val="Hyperlink"/>
            <w:rFonts w:cs="Times New Roman" w:ascii="times new roman" w:hAnsi="times new roman"/>
            <w:sz w:val="24"/>
            <w:szCs w:val="24"/>
          </w:rPr>
          <w:t>https://arxiv.org/abs/2010.11929</w:t>
        </w:r>
      </w:hyperlink>
      <w:r>
        <w:rPr>
          <w:rStyle w:val="Hyperlink"/>
          <w:rFonts w:cs="Times New Roman" w:ascii="times new roman" w:hAnsi="times new roman"/>
          <w:sz w:val="24"/>
          <w:szCs w:val="24"/>
        </w:rPr>
        <w:t>)</w:t>
      </w:r>
    </w:p>
    <w:p>
      <w:pPr>
        <w:pStyle w:val="BodyText"/>
        <w:bidi w:val="0"/>
        <w:jc w:val="left"/>
        <w:rPr>
          <w:rFonts w:ascii="Times New Roman" w:hAnsi="Times New Roman"/>
        </w:rPr>
      </w:pPr>
      <w:r>
        <w:rPr>
          <w:rStyle w:val="Hyperlink"/>
          <w:rFonts w:cs="Times New Roman" w:ascii="Verdana;Arial;Helvetica;sans-serif" w:hAnsi="Verdana;Arial;Helvetica;sans-serif"/>
          <w:b w:val="false"/>
          <w:i w:val="false"/>
          <w:caps w:val="false"/>
          <w:smallCaps w:val="false"/>
          <w:color w:val="232323"/>
          <w:spacing w:val="0"/>
          <w:sz w:val="21"/>
        </w:rPr>
        <w:t>1. Mall, R.K., et al. (2006) Impact of Climate Change on Indian Agriculture: A Review. Climatic Change, 78, 445-478. (</w:t>
      </w:r>
      <w:hyperlink r:id="rId26">
        <w:r>
          <w:rPr>
            <w:rStyle w:val="Hyperlink"/>
            <w:rFonts w:cs="Times New Roman" w:ascii="Verdana;Arial;Helvetica;sans-serif" w:hAnsi="Verdana;Arial;Helvetica;sans-serif"/>
            <w:b w:val="false"/>
            <w:i w:val="false"/>
            <w:caps w:val="false"/>
            <w:smallCaps w:val="false"/>
            <w:color w:val="232323"/>
            <w:spacing w:val="0"/>
            <w:sz w:val="21"/>
          </w:rPr>
          <w:t>https://doi.org/10.1007/s10584-005-9042-x</w:t>
        </w:r>
      </w:hyperlink>
      <w:r>
        <w:rPr>
          <w:rStyle w:val="Hyperlink"/>
          <w:rFonts w:cs="Times New Roman" w:ascii="Verdana;Arial;Helvetica;sans-serif" w:hAnsi="Verdana;Arial;Helvetica;sans-serif"/>
          <w:b w:val="false"/>
          <w:i w:val="false"/>
          <w:caps w:val="false"/>
          <w:smallCaps w:val="false"/>
          <w:color w:val="232323"/>
          <w:spacing w:val="0"/>
          <w:sz w:val="21"/>
        </w:rPr>
        <w:t>).</w:t>
      </w:r>
    </w:p>
    <w:p>
      <w:pPr>
        <w:pStyle w:val="Normal"/>
        <w:bidi w:val="0"/>
        <w:jc w:val="left"/>
        <w:rPr>
          <w:rStyle w:val="Hyperlink"/>
          <w:rFonts w:ascii="Times New Roman" w:hAnsi="Times New Roman" w:cs="Times New Roman"/>
          <w:color w:val="443205"/>
          <w:u w:val="none"/>
        </w:rPr>
      </w:pPr>
      <w:r>
        <w:rPr>
          <w:rFonts w:cs="Times New Roman" w:ascii="Times New Roman" w:hAnsi="Times New Roman"/>
          <w:color w:val="443205"/>
          <w:u w:val="none"/>
        </w:rPr>
      </w:r>
    </w:p>
    <w:p>
      <w:pPr>
        <w:pStyle w:val="Normal"/>
        <w:jc w:val="both"/>
        <w:rPr>
          <w:rStyle w:val="Hyperlink"/>
          <w:rFonts w:ascii="times new roman" w:hAnsi="times new roman"/>
          <w:sz w:val="24"/>
          <w:szCs w:val="24"/>
        </w:rPr>
      </w:pPr>
      <w:r>
        <w:rPr>
          <w:rFonts w:ascii="times new roman" w:hAnsi="times new roman"/>
          <w:sz w:val="24"/>
          <w:szCs w:val="24"/>
        </w:rPr>
      </w:r>
    </w:p>
    <w:p>
      <w:pPr>
        <w:pStyle w:val="Heading1"/>
        <w:numPr>
          <w:ilvl w:val="0"/>
          <w:numId w:val="1"/>
        </w:numPr>
        <w:ind w:hanging="0" w:left="0"/>
        <w:jc w:val="both"/>
        <w:rPr/>
      </w:pPr>
      <w:r>
        <w:rPr>
          <w:rStyle w:val="Hyperlink"/>
          <w:rFonts w:cs="Times New Roman" w:ascii="times new roman" w:hAnsi="times new roman"/>
          <w:b w:val="false"/>
          <w:bCs w:val="false"/>
          <w:i w:val="false"/>
          <w:caps w:val="false"/>
          <w:smallCaps w:val="false"/>
          <w:strike w:val="false"/>
          <w:dstrike w:val="false"/>
          <w:color w:val="333333"/>
          <w:spacing w:val="0"/>
          <w:sz w:val="24"/>
          <w:szCs w:val="24"/>
          <w:u w:val="none"/>
          <w:effect w:val="none"/>
          <w:shd w:fill="auto" w:val="clear"/>
          <w:lang w:val="en-IN"/>
        </w:rPr>
        <w:t xml:space="preserve">4. PIB (Press Information Bureaue) survey report (2025), </w:t>
      </w:r>
      <w:hyperlink r:id="rId27">
        <w:r>
          <w:rPr>
            <w:rStyle w:val="Hyperlink"/>
            <w:rFonts w:cs="Times New Roman" w:ascii="times new roman" w:hAnsi="times new roman"/>
            <w:b w:val="false"/>
            <w:bCs w:val="false"/>
            <w:i w:val="false"/>
            <w:caps w:val="false"/>
            <w:smallCaps w:val="false"/>
            <w:strike w:val="false"/>
            <w:dstrike w:val="false"/>
            <w:spacing w:val="0"/>
            <w:sz w:val="24"/>
            <w:szCs w:val="24"/>
            <w:effect w:val="none"/>
            <w:shd w:fill="auto" w:val="clear"/>
            <w:lang w:val="en-IN"/>
          </w:rPr>
          <w:t>https://www.pib.gov.in/PressReleasePage.aspx?PRID=2132330</w:t>
        </w:r>
      </w:hyperlink>
    </w:p>
    <w:p>
      <w:pPr>
        <w:pStyle w:val="Normal"/>
        <w:numPr>
          <w:ilvl w:val="0"/>
          <w:numId w:val="1"/>
        </w:numPr>
        <w:bidi w:val="0"/>
        <w:jc w:val="left"/>
        <w:rPr>
          <w:rFonts w:ascii="Times New Roman" w:hAnsi="Times New Roman"/>
        </w:rPr>
      </w:pPr>
      <w:r>
        <w:rPr>
          <w:rFonts w:ascii="Times New Roman" w:hAnsi="Times New Roman"/>
        </w:rPr>
      </w:r>
    </w:p>
    <w:p>
      <w:pPr>
        <w:pStyle w:val="Heading1"/>
        <w:numPr>
          <w:ilvl w:val="0"/>
          <w:numId w:val="1"/>
        </w:numPr>
        <w:ind w:hanging="0" w:left="0"/>
        <w:jc w:val="both"/>
        <w:rPr/>
      </w:pPr>
      <w:r>
        <w:rPr>
          <w:rStyle w:val="Hyperlink"/>
          <w:rFonts w:cs="Times New Roman" w:ascii="times new roman" w:hAnsi="times new roman"/>
          <w:b w:val="false"/>
          <w:bCs w:val="false"/>
          <w:i w:val="false"/>
          <w:caps w:val="false"/>
          <w:smallCaps w:val="false"/>
          <w:strike w:val="false"/>
          <w:dstrike w:val="false"/>
          <w:color w:val="333333"/>
          <w:spacing w:val="0"/>
          <w:sz w:val="24"/>
          <w:szCs w:val="24"/>
          <w:u w:val="none"/>
          <w:effect w:val="none"/>
          <w:shd w:fill="auto" w:val="clear"/>
          <w:lang w:val="en-IN"/>
        </w:rPr>
        <w:t>6. Vision Transformers: A Review of Architecture, Applications, and Future Directions,</w:t>
      </w:r>
      <w:r>
        <w:rPr>
          <w:rFonts w:ascii="times new roman" w:hAnsi="times new roman"/>
          <w:b w:val="false"/>
          <w:bCs w:val="false"/>
          <w:strike w:val="false"/>
          <w:dstrike w:val="false"/>
          <w:color w:val="000000"/>
          <w:sz w:val="24"/>
          <w:szCs w:val="24"/>
          <w:u w:val="none"/>
          <w:effect w:val="none"/>
          <w:shd w:fill="auto" w:val="clear"/>
          <w:lang w:val="en-IN"/>
        </w:rPr>
        <w:t>Abdelhafid</w:t>
      </w:r>
      <w:hyperlink r:id="rId28">
        <w:r>
          <w:rPr>
            <w:rStyle w:val="Hyperlink"/>
            <w:rFonts w:ascii="times new roman" w:hAnsi="times new roman"/>
            <w:b w:val="false"/>
            <w:bCs w:val="false"/>
            <w:strike w:val="false"/>
            <w:dstrike w:val="false"/>
            <w:color w:val="000000"/>
            <w:sz w:val="24"/>
            <w:szCs w:val="24"/>
            <w:u w:val="none"/>
            <w:effect w:val="none"/>
            <w:shd w:fill="auto" w:val="clear"/>
            <w:lang w:val="en-IN"/>
          </w:rPr>
          <w:t xml:space="preserve"> </w:t>
        </w:r>
      </w:hyperlink>
      <w:r>
        <w:rPr>
          <w:rFonts w:ascii="times new roman" w:hAnsi="times new roman"/>
          <w:b w:val="false"/>
          <w:bCs w:val="false"/>
          <w:strike w:val="false"/>
          <w:dstrike w:val="false"/>
          <w:color w:val="000000"/>
          <w:sz w:val="24"/>
          <w:szCs w:val="24"/>
          <w:u w:val="none"/>
          <w:effect w:val="none"/>
          <w:shd w:fill="auto" w:val="clear"/>
          <w:lang w:val="en-IN"/>
        </w:rPr>
        <w:t>Berroukham,</w:t>
      </w:r>
      <w:r>
        <w:rPr>
          <w:rFonts w:ascii="times new roman" w:hAnsi="times new roman"/>
          <w:b w:val="false"/>
          <w:bCs w:val="false"/>
          <w:color w:val="000000"/>
          <w:sz w:val="24"/>
          <w:szCs w:val="24"/>
          <w:lang w:val="en-IN"/>
        </w:rPr>
        <w:t> </w:t>
      </w:r>
      <w:r>
        <w:rPr>
          <w:rFonts w:ascii="times new roman" w:hAnsi="times new roman"/>
          <w:b w:val="false"/>
          <w:bCs w:val="false"/>
          <w:strike w:val="false"/>
          <w:dstrike w:val="false"/>
          <w:color w:val="000000"/>
          <w:sz w:val="24"/>
          <w:szCs w:val="24"/>
          <w:u w:val="none"/>
          <w:effect w:val="none"/>
          <w:shd w:fill="auto" w:val="clear"/>
          <w:lang w:val="en-IN"/>
        </w:rPr>
        <w:t>Khalid Housni, Mohammed Lahraichi ,</w:t>
      </w:r>
      <w:hyperlink r:id="rId29">
        <w:r>
          <w:rPr>
            <w:rStyle w:val="Hyperlink"/>
            <w:rFonts w:ascii="times new roman" w:hAnsi="times new roman"/>
            <w:b w:val="false"/>
            <w:i w:val="false"/>
            <w:caps w:val="false"/>
            <w:smallCaps w:val="false"/>
            <w:strike w:val="false"/>
            <w:dstrike w:val="false"/>
            <w:color w:val="000000"/>
            <w:spacing w:val="0"/>
            <w:sz w:val="24"/>
            <w:szCs w:val="24"/>
            <w:u w:val="none"/>
            <w:effect w:val="none"/>
            <w:shd w:fill="FFFFFF" w:val="clear"/>
          </w:rPr>
          <w:t>2023 7th IEEE Congress on Information Science and Technology (CiSt)</w:t>
        </w:r>
      </w:hyperlink>
    </w:p>
    <w:p>
      <w:pPr>
        <w:pStyle w:val="BodyText"/>
        <w:spacing w:before="0" w:after="0"/>
        <w:rPr/>
      </w:pPr>
      <w:r>
        <w:rPr>
          <w:rFonts w:ascii="times new roman" w:hAnsi="times new roman"/>
          <w:b w:val="false"/>
          <w:bCs w:val="false"/>
          <w:i w:val="false"/>
          <w:caps w:val="false"/>
          <w:smallCaps w:val="false"/>
          <w:strike w:val="false"/>
          <w:dstrike w:val="false"/>
          <w:color w:val="000000"/>
          <w:spacing w:val="0"/>
          <w:sz w:val="24"/>
          <w:szCs w:val="24"/>
          <w:u w:val="none"/>
          <w:effect w:val="none"/>
          <w:shd w:fill="FFFFFF" w:val="clear"/>
        </w:rPr>
        <w:t>6. Vision Transformers for Image Classification: A Comparative Survey,</w:t>
      </w:r>
      <w:r>
        <w:rPr>
          <w:rFonts w:ascii="times new roman" w:hAnsi="times new roman"/>
          <w:b w:val="false"/>
          <w:bCs w:val="false"/>
          <w:i w:val="false"/>
          <w:caps w:val="false"/>
          <w:smallCaps w:val="false"/>
          <w:color w:val="000000"/>
          <w:spacing w:val="0"/>
          <w:sz w:val="24"/>
          <w:szCs w:val="24"/>
          <w:shd w:fill="FFFFFF" w:val="clear"/>
        </w:rPr>
        <w:t>Yaoli Wang,Yaojun Deng, YuanjinZheng,PratikChattopadhyay,LipoWang,</w:t>
      </w:r>
      <w:r>
        <w:rPr>
          <w:rStyle w:val="Emphasis"/>
          <w:rFonts w:ascii="times new roman" w:hAnsi="times new roman"/>
          <w:b w:val="false"/>
          <w:i/>
          <w:color w:val="000000"/>
          <w:spacing w:val="0"/>
          <w:sz w:val="24"/>
          <w:szCs w:val="24"/>
        </w:rPr>
        <w:t>Technologies</w:t>
      </w:r>
      <w:r>
        <w:rPr>
          <w:rFonts w:ascii="times new roman" w:hAnsi="times new roman"/>
          <w:caps w:val="false"/>
          <w:smallCaps w:val="false"/>
          <w:color w:val="000000"/>
          <w:spacing w:val="0"/>
          <w:sz w:val="24"/>
          <w:szCs w:val="24"/>
        </w:rPr>
        <w:t> </w:t>
      </w:r>
      <w:r>
        <w:rPr>
          <w:rFonts w:ascii="times new roman" w:hAnsi="times new roman"/>
          <w:b w:val="false"/>
          <w:i w:val="false"/>
          <w:caps w:val="false"/>
          <w:smallCaps w:val="false"/>
          <w:color w:val="000000"/>
          <w:spacing w:val="0"/>
          <w:sz w:val="24"/>
          <w:szCs w:val="24"/>
        </w:rPr>
        <w:t>2025, </w:t>
      </w:r>
      <w:r>
        <w:rPr>
          <w:rStyle w:val="Emphasis"/>
          <w:rFonts w:ascii="times new roman" w:hAnsi="times new roman"/>
          <w:b w:val="false"/>
          <w:i/>
          <w:color w:val="000000"/>
          <w:spacing w:val="0"/>
          <w:sz w:val="24"/>
          <w:szCs w:val="24"/>
        </w:rPr>
        <w:t>13</w:t>
      </w:r>
      <w:r>
        <w:rPr>
          <w:rFonts w:ascii="times new roman" w:hAnsi="times new roman"/>
          <w:b w:val="false"/>
          <w:i w:val="false"/>
          <w:caps w:val="false"/>
          <w:smallCaps w:val="false"/>
          <w:color w:val="000000"/>
          <w:spacing w:val="0"/>
          <w:sz w:val="24"/>
          <w:szCs w:val="24"/>
        </w:rPr>
        <w:t>(1),2; </w:t>
      </w:r>
      <w:hyperlink r:id="rId30">
        <w:r>
          <w:rPr>
            <w:rStyle w:val="Hyperlink"/>
            <w:rFonts w:ascii="times new roman" w:hAnsi="times new roman"/>
            <w:b w:val="false"/>
            <w:i w:val="false"/>
            <w:caps w:val="false"/>
            <w:smallCaps w:val="false"/>
            <w:strike w:val="false"/>
            <w:dstrike w:val="false"/>
            <w:color w:val="000000"/>
            <w:spacing w:val="0"/>
            <w:sz w:val="24"/>
            <w:szCs w:val="24"/>
            <w:u w:val="none"/>
            <w:effect w:val="none"/>
          </w:rPr>
          <w:t>https://doi.org/10.3390/technologies13010032</w:t>
        </w:r>
      </w:hyperlink>
      <w:r>
        <w:rPr>
          <w:rFonts w:ascii="Times New Roman" w:hAnsi="Times New Roman"/>
        </w:rPr>
        <w:br/>
        <w:t>7. Ajuzieogu, U. C. (2024). "Multimodal Generative AI for Climate Adaptation and Agricultural Innovation." ResearchGate.</w:t>
      </w:r>
    </w:p>
    <w:p>
      <w:pPr>
        <w:pStyle w:val="Normal"/>
        <w:bidi w:val="0"/>
        <w:jc w:val="left"/>
        <w:rPr>
          <w:rFonts w:ascii="Times New Roman" w:hAnsi="Times New Roman"/>
        </w:rPr>
      </w:pPr>
      <w:r>
        <w:rPr>
          <w:rFonts w:ascii="Times New Roman" w:hAnsi="Times New Roman"/>
        </w:rPr>
        <w:t>10. Liu, X., et al. (2025). "A Multimodal Benchmark Dataset and Model for Crop Disease Diagnosis." arXiv preprint.</w:t>
      </w:r>
    </w:p>
    <w:p>
      <w:pPr>
        <w:pStyle w:val="Normal"/>
        <w:bidi w:val="0"/>
        <w:jc w:val="left"/>
        <w:rPr>
          <w:rFonts w:ascii="Times New Roman" w:hAnsi="Times New Roman"/>
        </w:rPr>
      </w:pPr>
      <w:r>
        <w:rPr>
          <w:rFonts w:ascii="Times New Roman" w:hAnsi="Times New Roman"/>
        </w:rPr>
        <w:t>11. Shafi, U., et al. (2020). "A Multi-Modal Approach for Crop Health Mapping Using Low Altitude Remote Sensing, Internet of Things (IoT) and Machine Learning." IEEE Access.</w:t>
      </w:r>
    </w:p>
    <w:p>
      <w:pPr>
        <w:pStyle w:val="Normal"/>
        <w:bidi w:val="0"/>
        <w:jc w:val="left"/>
        <w:rPr>
          <w:rFonts w:ascii="Times New Roman" w:hAnsi="Times New Roman"/>
        </w:rPr>
      </w:pPr>
      <w:r>
        <w:rPr>
          <w:rFonts w:ascii="Times New Roman" w:hAnsi="Times New Roman"/>
        </w:rPr>
        <w:t>12. Shi, X., et al. (2025). "Knowledge-Enhanced Crop Disease Diagnosis Using Vision Transformers and Large Language Models." ResearchGate.</w:t>
      </w:r>
    </w:p>
    <w:p>
      <w:pPr>
        <w:pStyle w:val="Normal"/>
        <w:bidi w:val="0"/>
        <w:jc w:val="left"/>
        <w:rPr>
          <w:rFonts w:ascii="Times New Roman" w:hAnsi="Times New Roman"/>
        </w:rPr>
      </w:pPr>
      <w:r>
        <w:rPr>
          <w:rFonts w:ascii="Times New Roman" w:hAnsi="Times New Roman"/>
        </w:rPr>
        <w:t>13. Singh, A., et al. (2018). "Plant Disease Detection Using CNTK-based Convolutional Neural Network." Journal of Agricultural Informatics.</w:t>
      </w:r>
    </w:p>
    <w:p>
      <w:pPr>
        <w:pStyle w:val="Normal"/>
        <w:bidi w:val="0"/>
        <w:jc w:val="left"/>
        <w:rPr>
          <w:rFonts w:ascii="Times New Roman" w:hAnsi="Times New Roman"/>
        </w:rPr>
      </w:pPr>
      <w:r>
        <w:rPr>
          <w:rFonts w:ascii="Times New Roman" w:hAnsi="Times New Roman"/>
        </w:rPr>
        <w:t>14. Smith, A., et al. (2025). "Agentic AI for Smart Agriculture: A Multimodal RAG System for Crop Disease Detection &amp; Diagnosis." Ready Tensor.</w:t>
      </w:r>
    </w:p>
    <w:p>
      <w:pPr>
        <w:pStyle w:val="Normal"/>
        <w:bidi w:val="0"/>
        <w:jc w:val="left"/>
        <w:rPr>
          <w:rFonts w:ascii="Times New Roman" w:hAnsi="Times New Roman"/>
        </w:rPr>
      </w:pPr>
      <w:r>
        <w:rPr>
          <w:rFonts w:ascii="Times New Roman" w:hAnsi="Times New Roman"/>
        </w:rPr>
        <w:t>15. Tigadi, T., et al. (2025). "PhytoSynth: Leveraging Multi-modal Generative Model for Crop Disease Data Generation with Novel Benchmarking and Prompt Engineering Approach." CVPRW-IEEE Xplore.</w:t>
      </w:r>
    </w:p>
    <w:p>
      <w:pPr>
        <w:pStyle w:val="Normal"/>
        <w:bidi w:val="0"/>
        <w:jc w:val="left"/>
        <w:rPr>
          <w:rFonts w:ascii="Times New Roman" w:hAnsi="Times New Roman"/>
        </w:rPr>
      </w:pPr>
      <w:r>
        <w:rPr>
          <w:rFonts w:ascii="Times New Roman" w:hAnsi="Times New Roman"/>
        </w:rPr>
        <w:t xml:space="preserve">16. </w:t>
      </w:r>
      <w:r>
        <w:rPr/>
        <w:t xml:space="preserve">Berry, P. M., Sterling, M., Baker, C. J., Spink, J., &amp; Sparkes, D. L. (2004). A calibrated model of wheat lodging compared with field measurements. </w:t>
      </w:r>
      <w:r>
        <w:rPr>
          <w:i/>
        </w:rPr>
        <w:t>Agricultural and Forest Meteorology</w:t>
      </w:r>
      <w:r>
        <w:rPr/>
        <w:t>, 123(3-4), 167-180</w:t>
      </w:r>
    </w:p>
    <w:p>
      <w:pPr>
        <w:pStyle w:val="Normal"/>
        <w:bidi w:val="0"/>
        <w:jc w:val="left"/>
        <w:rPr>
          <w:rFonts w:ascii="Times New Roman" w:hAnsi="Times New Roman"/>
        </w:rPr>
      </w:pPr>
      <w:r>
        <w:rPr/>
        <w:t xml:space="preserve">17. </w:t>
      </w:r>
      <w:r>
        <w:rPr/>
        <w:t xml:space="preserve">Fischer, R. A. (2011). Wheat physiology: a review of recent developments. </w:t>
      </w:r>
      <w:r>
        <w:rPr>
          <w:i/>
        </w:rPr>
        <w:t>Crop and Pasture Science</w:t>
      </w:r>
      <w:r>
        <w:rPr/>
        <w:t>, 62(2), 95-114.</w:t>
      </w:r>
    </w:p>
    <w:p>
      <w:pPr>
        <w:pStyle w:val="Normal"/>
        <w:bidi w:val="0"/>
        <w:jc w:val="left"/>
        <w:rPr>
          <w:rFonts w:ascii="Times New Roman" w:hAnsi="Times New Roman"/>
        </w:rPr>
      </w:pPr>
      <w:r>
        <w:rPr/>
        <w:t xml:space="preserve">18. </w:t>
      </w:r>
      <w:r>
        <w:rPr/>
        <w:t xml:space="preserve">Piñera-Chavez, F. J., Berry, P. M., Foulkes, M. J., Jesson, M. A., &amp; Reynolds, M. P. (2016). Avoiding lodging in irrigated spring wheat. I. Stem and root structural requirements. </w:t>
      </w:r>
      <w:r>
        <w:rPr>
          <w:i/>
        </w:rPr>
        <w:t>Field Crops Research</w:t>
      </w:r>
      <w:r>
        <w:rPr/>
        <w:t>, 196, 325-336</w:t>
      </w:r>
    </w:p>
    <w:p>
      <w:pPr>
        <w:pStyle w:val="Normal"/>
        <w:bidi w:val="0"/>
        <w:jc w:val="left"/>
        <w:rPr>
          <w:rFonts w:ascii="Times New Roman" w:hAnsi="Times New Roman"/>
        </w:rPr>
      </w:pPr>
      <w:r>
        <w:rPr/>
        <w:t xml:space="preserve">19. </w:t>
      </w:r>
      <w:r>
        <w:rPr/>
        <w:t xml:space="preserve">Tripathi, S. C., Sayre, K. D., Kaul, J. N., &amp; Narang, R. S. (2004). Lodging behavior and yield potential of spring wheat (Triticum aestivum L.) under different management practices. </w:t>
      </w:r>
      <w:r>
        <w:rPr>
          <w:i/>
        </w:rPr>
        <w:t>Indian Journal of Agricultural Sciences</w:t>
      </w:r>
      <w:r>
        <w:rPr/>
        <w:t>, 74(4), 189-193.</w:t>
      </w:r>
    </w:p>
    <w:p>
      <w:pPr>
        <w:pStyle w:val="BodyText"/>
        <w:rPr/>
      </w:pPr>
      <w:r>
        <w:rPr/>
      </w:r>
      <w:r>
        <w:br w:type="page"/>
      </w:r>
    </w:p>
    <w:p>
      <w:pPr>
        <w:pStyle w:val="Normal"/>
        <w:spacing w:before="0" w:after="0"/>
        <w:ind w:hanging="0" w:left="0"/>
        <w:jc w:val="center"/>
        <w:rPr>
          <w:rFonts w:ascii="times new roman" w:hAnsi="times new roman"/>
          <w:b w:val="false"/>
          <w:bCs w:val="false"/>
          <w:color w:val="000000"/>
          <w:spacing w:val="0"/>
          <w:sz w:val="24"/>
          <w:szCs w:val="24"/>
        </w:rPr>
      </w:pPr>
      <w:r>
        <w:rPr>
          <w:rFonts w:ascii="times new roman" w:hAnsi="times new roman"/>
          <w:b w:val="false"/>
          <w:bCs w:val="false"/>
          <w:color w:val="000000"/>
          <w:spacing w:val="0"/>
          <w:sz w:val="24"/>
          <w:szCs w:val="24"/>
        </w:rPr>
        <w:t>Annexure - I</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4.1 Mobile setup for geotagging of images</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BodyText"/>
        <w:ind w:hanging="0" w:left="0"/>
        <w:jc w:val="both"/>
        <w:rPr>
          <w:rFonts w:ascii="times new roman" w:hAnsi="times new roman" w:cs="Times New Roman"/>
          <w:b/>
          <w:i w:val="false"/>
          <w:caps w:val="false"/>
          <w:smallCaps w:val="false"/>
          <w:color w:val="0F1115"/>
          <w:spacing w:val="0"/>
          <w:sz w:val="24"/>
          <w:szCs w:val="24"/>
        </w:rPr>
      </w:pPr>
      <w:bookmarkStart w:id="15" w:name="p-rc_9189cfdd3c81290a-33"/>
      <w:bookmarkEnd w:id="15"/>
      <w:r>
        <w:rPr>
          <w:rFonts w:ascii="times new roman" w:hAnsi="times new roman"/>
          <w:b w:val="false"/>
          <w:bCs w:val="false"/>
          <w:color w:val="000000"/>
          <w:spacing w:val="0"/>
          <w:sz w:val="24"/>
          <w:szCs w:val="24"/>
        </w:rPr>
        <w:t>"Geotagging" an image simply means embedding geographical information (latitude and longitude) into the photo's metadata. This allows apps to show exactly where a photo was taken on a map.</w:t>
      </w:r>
    </w:p>
    <w:p>
      <w:pPr>
        <w:pStyle w:val="Heading3"/>
        <w:numPr>
          <w:ilvl w:val="2"/>
          <w:numId w:val="1"/>
        </w:numPr>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4.1.1  On Android</w:t>
      </w:r>
    </w:p>
    <w:p>
      <w:pPr>
        <w:pStyle w:val="BodyText"/>
        <w:jc w:val="both"/>
        <w:rPr>
          <w:rFonts w:ascii="times new roman" w:hAnsi="times new roman"/>
          <w:color w:val="000000"/>
        </w:rPr>
      </w:pPr>
      <w:r>
        <w:rPr>
          <w:rFonts w:ascii="times new roman" w:hAnsi="times new roman"/>
          <w:color w:val="000000"/>
        </w:rPr>
        <w:t>Most Android phones use Camera app.</w:t>
      </w:r>
    </w:p>
    <w:p>
      <w:pPr>
        <w:pStyle w:val="BodyText"/>
        <w:numPr>
          <w:ilvl w:val="0"/>
          <w:numId w:val="0"/>
        </w:numPr>
        <w:ind w:hanging="0" w:left="0"/>
        <w:jc w:val="both"/>
        <w:rPr>
          <w:rFonts w:ascii="times new roman" w:hAnsi="times new roman"/>
          <w:color w:val="000000"/>
        </w:rPr>
      </w:pPr>
      <w:r>
        <w:rPr>
          <w:rFonts w:ascii="times new roman" w:hAnsi="times new roman"/>
          <w:b w:val="false"/>
          <w:bCs w:val="false"/>
          <w:color w:val="000000"/>
        </w:rPr>
        <w:t>4.1.1.1</w:t>
      </w:r>
      <w:r>
        <w:rPr>
          <w:rFonts w:ascii="times new roman" w:hAnsi="times new roman"/>
          <w:b/>
          <w:color w:val="000000"/>
        </w:rPr>
        <w:t xml:space="preserve"> To Enable:</w:t>
      </w:r>
      <w:r>
        <w:rPr>
          <w:rFonts w:ascii="times new roman" w:hAnsi="times new roman"/>
          <w:color w:val="000000"/>
        </w:rPr>
        <w:t xml:space="preserve"> Open the </w:t>
      </w:r>
      <w:r>
        <w:rPr>
          <w:rFonts w:ascii="times new roman" w:hAnsi="times new roman"/>
          <w:b/>
          <w:color w:val="000000"/>
        </w:rPr>
        <w:t>Camera app</w:t>
      </w:r>
      <w:r>
        <w:rPr>
          <w:rFonts w:ascii="times new roman" w:hAnsi="times new roman"/>
          <w:color w:val="000000"/>
        </w:rPr>
        <w:t xml:space="preserve">, go to </w:t>
      </w:r>
      <w:r>
        <w:rPr>
          <w:rFonts w:ascii="times new roman" w:hAnsi="times new roman"/>
          <w:b/>
          <w:color w:val="000000"/>
        </w:rPr>
        <w:t>Settings</w:t>
      </w:r>
      <w:r>
        <w:rPr>
          <w:rFonts w:ascii="times new roman" w:hAnsi="times new roman"/>
          <w:color w:val="000000"/>
        </w:rPr>
        <w:t xml:space="preserve"> (gear icon), and toggle on </w:t>
      </w:r>
      <w:r>
        <w:rPr>
          <w:rFonts w:ascii="times new roman" w:hAnsi="times new roman"/>
          <w:b/>
          <w:color w:val="000000"/>
        </w:rPr>
        <w:t>"Save location"</w:t>
      </w:r>
      <w:r>
        <w:rPr>
          <w:rFonts w:ascii="times new roman" w:hAnsi="times new roman"/>
          <w:color w:val="000000"/>
        </w:rPr>
        <w:t xml:space="preserve"> or </w:t>
      </w:r>
      <w:r>
        <w:rPr>
          <w:rFonts w:ascii="times new roman" w:hAnsi="times new roman"/>
          <w:b/>
          <w:color w:val="000000"/>
        </w:rPr>
        <w:t>"Location tags."</w:t>
      </w:r>
    </w:p>
    <w:p>
      <w:pPr>
        <w:pStyle w:val="BodyText"/>
        <w:numPr>
          <w:ilvl w:val="0"/>
          <w:numId w:val="0"/>
        </w:numPr>
        <w:ind w:hanging="0" w:left="0"/>
        <w:jc w:val="both"/>
        <w:rPr>
          <w:rFonts w:ascii="times new roman" w:hAnsi="times new roman"/>
          <w:color w:val="000000"/>
        </w:rPr>
      </w:pPr>
      <w:r>
        <w:rPr>
          <w:rFonts w:ascii="times new roman" w:hAnsi="times new roman"/>
          <w:color w:val="00000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02768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31"/>
                    <a:stretch>
                      <a:fillRect/>
                    </a:stretch>
                  </pic:blipFill>
                  <pic:spPr bwMode="auto">
                    <a:xfrm>
                      <a:off x="0" y="0"/>
                      <a:ext cx="6120130" cy="3027680"/>
                    </a:xfrm>
                    <a:prstGeom prst="rect">
                      <a:avLst/>
                    </a:prstGeom>
                    <a:noFill/>
                  </pic:spPr>
                </pic:pic>
              </a:graphicData>
            </a:graphic>
          </wp:anchor>
        </w:drawing>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ascii="times new roman" w:hAnsi="times new roman"/>
          <w:b w:val="false"/>
          <w:bCs w:val="false"/>
          <w:color w:val="000000"/>
          <w:spacing w:val="0"/>
          <w:sz w:val="24"/>
          <w:szCs w:val="24"/>
        </w:rPr>
        <w:t>4. 2 Gemini setup for Voice Prompt and Response</w:t>
      </w:r>
    </w:p>
    <w:p>
      <w:pPr>
        <w:pStyle w:val="Normal"/>
        <w:ind w:hanging="0" w:left="0"/>
        <w:jc w:val="both"/>
        <w:rPr>
          <w:rFonts w:ascii="times new roman" w:hAnsi="times new roman" w:cs="Times New Roman"/>
          <w:b/>
          <w:i w:val="false"/>
          <w:caps w:val="false"/>
          <w:smallCaps w:val="false"/>
          <w:color w:val="0F1115"/>
          <w:spacing w:val="0"/>
          <w:sz w:val="24"/>
          <w:szCs w:val="24"/>
        </w:rPr>
      </w:pPr>
      <w:r>
        <w:rPr>
          <w:rFonts w:cs="Times New Roman" w:ascii="times new roman" w:hAnsi="times new roman"/>
          <w:b/>
          <w:i w:val="false"/>
          <w:caps w:val="false"/>
          <w:smallCaps w:val="false"/>
          <w:color w:val="0F1115"/>
          <w:spacing w:val="0"/>
          <w:sz w:val="24"/>
          <w:szCs w:val="24"/>
        </w:rPr>
      </w:r>
    </w:p>
    <w:p>
      <w:pPr>
        <w:pStyle w:val="BodyText"/>
        <w:ind w:hanging="0" w:left="0"/>
        <w:jc w:val="both"/>
        <w:rPr>
          <w:rFonts w:ascii="times new roman" w:hAnsi="times new roman"/>
          <w:b w:val="false"/>
          <w:bCs w:val="false"/>
          <w:color w:val="1F1F1F"/>
          <w:spacing w:val="0"/>
          <w:sz w:val="24"/>
          <w:szCs w:val="24"/>
        </w:rPr>
      </w:pPr>
      <w:bookmarkStart w:id="16" w:name="p-rc_724e7618088c5976-19"/>
      <w:bookmarkEnd w:id="16"/>
      <w:r>
        <w:rPr>
          <w:rFonts w:ascii="times new roman" w:hAnsi="times new roman"/>
          <w:b w:val="false"/>
          <w:bCs w:val="false"/>
          <w:color w:val="1F1F1F"/>
          <w:spacing w:val="0"/>
          <w:sz w:val="24"/>
          <w:szCs w:val="24"/>
        </w:rPr>
        <w:t xml:space="preserve">To set up Gemini for voice prompts and responses, you primarily use the </w:t>
      </w:r>
      <w:r>
        <w:rPr>
          <w:rFonts w:ascii="times new roman" w:hAnsi="times new roman"/>
          <w:b/>
          <w:bCs w:val="false"/>
          <w:color w:val="1F1F1F"/>
          <w:spacing w:val="0"/>
          <w:sz w:val="24"/>
          <w:szCs w:val="24"/>
        </w:rPr>
        <w:t>Gemini mobile app</w:t>
      </w:r>
      <w:r>
        <w:rPr>
          <w:rFonts w:ascii="times new roman" w:hAnsi="times new roman"/>
          <w:b w:val="false"/>
          <w:bCs w:val="false"/>
          <w:color w:val="1F1F1F"/>
          <w:spacing w:val="0"/>
          <w:sz w:val="24"/>
          <w:szCs w:val="24"/>
        </w:rPr>
        <w:t xml:space="preserve"> on Android or iOS. Depending on how you want to interact, you can either use the standard </w:t>
      </w:r>
      <w:r>
        <w:rPr>
          <w:rFonts w:ascii="times new roman" w:hAnsi="times new roman"/>
          <w:b/>
          <w:bCs w:val="false"/>
          <w:color w:val="1F1F1F"/>
          <w:spacing w:val="0"/>
          <w:sz w:val="24"/>
          <w:szCs w:val="24"/>
        </w:rPr>
        <w:t>Microphone</w:t>
      </w:r>
      <w:r>
        <w:rPr>
          <w:rFonts w:ascii="times new roman" w:hAnsi="times new roman"/>
          <w:b w:val="false"/>
          <w:bCs w:val="false"/>
          <w:color w:val="1F1F1F"/>
          <w:spacing w:val="0"/>
          <w:sz w:val="24"/>
          <w:szCs w:val="24"/>
        </w:rPr>
        <w:t xml:space="preserve"> button or the more conversational </w:t>
      </w:r>
      <w:r>
        <w:rPr>
          <w:rFonts w:ascii="times new roman" w:hAnsi="times new roman"/>
          <w:b/>
          <w:bCs w:val="false"/>
          <w:color w:val="1F1F1F"/>
          <w:spacing w:val="0"/>
          <w:sz w:val="24"/>
          <w:szCs w:val="24"/>
        </w:rPr>
        <w:t>Gemini Live</w:t>
      </w:r>
      <w:r>
        <w:rPr>
          <w:rFonts w:ascii="times new roman" w:hAnsi="times new roman"/>
          <w:b w:val="false"/>
          <w:bCs w:val="false"/>
          <w:color w:val="1F1F1F"/>
          <w:spacing w:val="0"/>
          <w:sz w:val="24"/>
          <w:szCs w:val="24"/>
        </w:rPr>
        <w:t xml:space="preserve"> mode.</w:t>
      </w:r>
    </w:p>
    <w:p>
      <w:pPr>
        <w:pStyle w:val="Heading2"/>
        <w:numPr>
          <w:ilvl w:val="1"/>
          <w:numId w:val="1"/>
        </w:numPr>
        <w:ind w:hanging="0" w:left="0" w:right="24"/>
        <w:jc w:val="both"/>
        <w:rPr>
          <w:rFonts w:ascii="times new roman" w:hAnsi="times new roman"/>
          <w:b w:val="false"/>
          <w:bCs w:val="false"/>
          <w:color w:val="1F1F1F"/>
          <w:spacing w:val="0"/>
          <w:sz w:val="24"/>
          <w:szCs w:val="24"/>
        </w:rPr>
      </w:pPr>
      <w:r>
        <w:rPr>
          <w:rFonts w:ascii="times new roman" w:hAnsi="times new roman"/>
          <w:b w:val="false"/>
          <w:bCs w:val="false"/>
          <w:color w:val="1F1F1F"/>
          <w:spacing w:val="0"/>
          <w:sz w:val="24"/>
          <w:szCs w:val="24"/>
        </w:rPr>
        <w:t>4.2.1 Enable "Hey Google" (Hands-Free)</w:t>
      </w:r>
    </w:p>
    <w:p>
      <w:pPr>
        <w:pStyle w:val="BodyText"/>
        <w:ind w:hanging="0" w:left="0" w:right="0"/>
        <w:jc w:val="both"/>
        <w:rPr>
          <w:rFonts w:ascii="times new roman" w:hAnsi="times new roman"/>
          <w:color w:val="1F1F1F"/>
        </w:rPr>
      </w:pPr>
      <w:bookmarkStart w:id="17" w:name="p-rc_724e7618088c5976-37"/>
      <w:bookmarkEnd w:id="17"/>
      <w:r>
        <w:rPr>
          <w:rFonts w:ascii="times new roman" w:hAnsi="times new roman"/>
          <w:color w:val="1F1F1F"/>
        </w:rPr>
        <w:t>If you want Gemini to wake up when you speak, you must set it as your primary digital assistant (this replaces the classic Google Assistant).</w:t>
      </w:r>
    </w:p>
    <w:p>
      <w:pPr>
        <w:pStyle w:val="BodyText"/>
        <w:ind w:hanging="0" w:left="0" w:right="0"/>
        <w:jc w:val="both"/>
        <w:rPr>
          <w:rFonts w:ascii="times new roman" w:hAnsi="times new roman"/>
          <w:color w:val="1F1F1F"/>
        </w:rPr>
      </w:pPr>
      <w:bookmarkStart w:id="18" w:name="p-rc_724e7618088c5976-38"/>
      <w:bookmarkEnd w:id="18"/>
      <w:r>
        <w:rPr>
          <w:rFonts w:ascii="times new roman" w:hAnsi="times new roman"/>
          <w:color w:val="1F1F1F"/>
        </w:rPr>
        <w:t xml:space="preserve">4.2.1.1 Open the </w:t>
      </w:r>
      <w:r>
        <w:rPr>
          <w:rFonts w:ascii="times new roman" w:hAnsi="times new roman"/>
          <w:b/>
          <w:color w:val="1F1F1F"/>
        </w:rPr>
        <w:t>Gemini app</w:t>
      </w:r>
      <w:r>
        <w:rPr>
          <w:rFonts w:ascii="times new roman" w:hAnsi="times new roman"/>
          <w:color w:val="1F1F1F"/>
        </w:rPr>
        <w:t>.</w:t>
      </w:r>
    </w:p>
    <w:p>
      <w:pPr>
        <w:pStyle w:val="BodyText"/>
        <w:ind w:hanging="0" w:left="0" w:right="0"/>
        <w:jc w:val="both"/>
        <w:rPr>
          <w:rFonts w:ascii="times new roman" w:hAnsi="times new roman"/>
          <w:color w:val="1F1F1F"/>
        </w:rPr>
      </w:pPr>
      <w:bookmarkStart w:id="19" w:name="p-rc_724e7618088c5976-39"/>
      <w:bookmarkEnd w:id="19"/>
      <w:r>
        <w:rPr>
          <w:rFonts w:ascii="times new roman" w:hAnsi="times new roman"/>
          <w:color w:val="1F1F1F"/>
        </w:rPr>
        <w:t xml:space="preserve">4.2.1.2 Tap your </w:t>
      </w:r>
      <w:r>
        <w:rPr>
          <w:rFonts w:ascii="times new roman" w:hAnsi="times new roman"/>
          <w:b/>
          <w:color w:val="1F1F1F"/>
        </w:rPr>
        <w:t>Profile Picture</w:t>
      </w:r>
      <w:r>
        <w:rPr>
          <w:rFonts w:ascii="times new roman" w:hAnsi="times new roman"/>
          <w:color w:val="1F1F1F"/>
        </w:rPr>
        <w:t xml:space="preserve"> at the top right and go to </w:t>
      </w:r>
      <w:r>
        <w:rPr>
          <w:rFonts w:ascii="times new roman" w:hAnsi="times new roman"/>
          <w:b/>
          <w:color w:val="1F1F1F"/>
        </w:rPr>
        <w:t>Settings</w:t>
      </w:r>
      <w:r>
        <w:rPr>
          <w:rFonts w:ascii="times new roman" w:hAnsi="times new roman"/>
          <w:color w:val="1F1F1F"/>
        </w:rPr>
        <w:t>.</w:t>
      </w:r>
    </w:p>
    <w:p>
      <w:pPr>
        <w:pStyle w:val="BodyText"/>
        <w:ind w:hanging="0" w:left="0" w:right="0"/>
        <w:jc w:val="both"/>
        <w:rPr>
          <w:rFonts w:ascii="times new roman" w:hAnsi="times new roman"/>
          <w:color w:val="1F1F1F"/>
        </w:rPr>
      </w:pPr>
      <w:bookmarkStart w:id="20" w:name="p-rc_724e7618088c5976-40"/>
      <w:bookmarkEnd w:id="20"/>
      <w:r>
        <w:rPr>
          <w:rFonts w:ascii="times new roman" w:hAnsi="times new roman"/>
          <w:color w:val="1F1F1F"/>
        </w:rPr>
        <w:t xml:space="preserve">4.2.1.3 Tap </w:t>
      </w:r>
      <w:r>
        <w:rPr>
          <w:rFonts w:ascii="times new roman" w:hAnsi="times new roman"/>
          <w:b/>
          <w:color w:val="1F1F1F"/>
        </w:rPr>
        <w:t>Google Assistant</w:t>
      </w:r>
      <w:r>
        <w:rPr>
          <w:rFonts w:ascii="times new roman" w:hAnsi="times new roman"/>
          <w:color w:val="1F1F1F"/>
        </w:rPr>
        <w:t xml:space="preserve"> (or "Digital assistants from Google").</w:t>
      </w:r>
    </w:p>
    <w:p>
      <w:pPr>
        <w:pStyle w:val="BodyText"/>
        <w:ind w:hanging="0" w:left="0" w:right="0"/>
        <w:jc w:val="both"/>
        <w:rPr>
          <w:rFonts w:ascii="times new roman" w:hAnsi="times new roman"/>
          <w:color w:val="1F1F1F"/>
        </w:rPr>
      </w:pPr>
      <w:bookmarkStart w:id="21" w:name="p-rc_724e7618088c5976-41"/>
      <w:bookmarkEnd w:id="21"/>
      <w:r>
        <w:rPr>
          <w:rFonts w:ascii="times new roman" w:hAnsi="times new roman"/>
          <w:color w:val="1F1F1F"/>
        </w:rPr>
        <w:t xml:space="preserve">4.2.1.4 Ensure </w:t>
      </w:r>
      <w:r>
        <w:rPr>
          <w:rFonts w:ascii="times new roman" w:hAnsi="times new roman"/>
          <w:b/>
          <w:color w:val="1F1F1F"/>
        </w:rPr>
        <w:t>Gemini</w:t>
      </w:r>
      <w:r>
        <w:rPr>
          <w:rFonts w:ascii="times new roman" w:hAnsi="times new roman"/>
          <w:color w:val="1F1F1F"/>
        </w:rPr>
        <w:t xml:space="preserve"> is selected as your primary assistant.</w:t>
      </w:r>
    </w:p>
    <w:p>
      <w:pPr>
        <w:pStyle w:val="BodyText"/>
        <w:ind w:hanging="0" w:left="0" w:right="0"/>
        <w:jc w:val="both"/>
        <w:rPr>
          <w:rFonts w:ascii="times new roman" w:hAnsi="times new roman"/>
          <w:color w:val="1F1F1F"/>
        </w:rPr>
      </w:pPr>
      <w:bookmarkStart w:id="22" w:name="p-rc_724e7618088c5976-42"/>
      <w:bookmarkEnd w:id="22"/>
      <w:r>
        <w:rPr>
          <w:rFonts w:ascii="times new roman" w:hAnsi="times new roman"/>
          <w:color w:val="1F1F1F"/>
        </w:rPr>
        <w:t xml:space="preserve">4.2.1.5 Tap </w:t>
      </w:r>
      <w:r>
        <w:rPr>
          <w:rFonts w:ascii="times new roman" w:hAnsi="times new roman"/>
          <w:b/>
          <w:color w:val="1F1F1F"/>
        </w:rPr>
        <w:t>"Hey Google" &amp; Voice Match</w:t>
      </w:r>
      <w:r>
        <w:rPr>
          <w:rFonts w:ascii="times new roman" w:hAnsi="times new roman"/>
          <w:color w:val="1F1F1F"/>
        </w:rPr>
        <w:t xml:space="preserve"> and toggle it </w:t>
      </w:r>
      <w:r>
        <w:rPr>
          <w:rFonts w:ascii="times new roman" w:hAnsi="times new roman"/>
          <w:b/>
          <w:color w:val="1F1F1F"/>
        </w:rPr>
        <w:t>On</w:t>
      </w:r>
      <w:r>
        <w:rPr>
          <w:rFonts w:ascii="times new roman" w:hAnsi="times new roman"/>
          <w:color w:val="1F1F1F"/>
        </w:rPr>
        <w:t>.</w:t>
      </w:r>
    </w:p>
    <w:p>
      <w:pPr>
        <w:pStyle w:val="BodyText"/>
        <w:ind w:hanging="0" w:left="0" w:right="0"/>
        <w:jc w:val="both"/>
        <w:rPr>
          <w:rFonts w:ascii="times new roman" w:hAnsi="times new roman"/>
          <w:i/>
          <w:color w:val="1F1F1F"/>
        </w:rPr>
      </w:pPr>
      <w:r>
        <w:rPr>
          <w:rFonts w:ascii="times new roman" w:hAnsi="times new roman"/>
          <w:i/>
          <w:color w:val="1F1F1F"/>
        </w:rPr>
        <w:t>Note: If you have an iPhone, you cannot replace Siri, but you can use the Gemini widget or the app's microphone.</w:t>
      </w:r>
    </w:p>
    <w:p>
      <w:pPr>
        <w:pStyle w:val="Heading2"/>
        <w:widowControl/>
        <w:numPr>
          <w:ilvl w:val="0"/>
          <w:numId w:val="0"/>
        </w:numPr>
        <w:spacing w:lineRule="auto" w:line="276" w:before="0" w:after="140"/>
        <w:ind w:hanging="0" w:left="0" w:right="24"/>
        <w:jc w:val="both"/>
        <w:rPr>
          <w:rFonts w:ascii="times new roman" w:hAnsi="times new roman"/>
          <w:b w:val="false"/>
          <w:bCs w:val="false"/>
          <w:color w:val="1F1F1F"/>
        </w:rPr>
      </w:pPr>
      <w:r>
        <w:rPr>
          <w:rFonts w:ascii="times new roman" w:hAnsi="times new roman"/>
          <w:b w:val="false"/>
          <w:bCs w:val="false"/>
          <w:color w:val="1F1F1F"/>
        </w:rPr>
        <w:t>4.3 Setting Up Voice Responses</w:t>
      </w:r>
    </w:p>
    <w:p>
      <w:pPr>
        <w:pStyle w:val="BodyText"/>
        <w:jc w:val="both"/>
        <w:rPr>
          <w:rFonts w:ascii="times new roman" w:hAnsi="times new roman"/>
          <w:color w:val="1F1F1F"/>
        </w:rPr>
      </w:pPr>
      <w:r>
        <w:rPr>
          <w:rFonts w:ascii="times new roman" w:hAnsi="times new roman"/>
          <w:color w:val="1F1F1F"/>
        </w:rPr>
        <w:t>To ensure Gemini speaks back to you rather than just showing text:</w:t>
      </w:r>
    </w:p>
    <w:p>
      <w:pPr>
        <w:pStyle w:val="BodyText"/>
        <w:jc w:val="both"/>
        <w:rPr>
          <w:rFonts w:ascii="times new roman" w:hAnsi="times new roman"/>
          <w:color w:val="1F1F1F"/>
        </w:rPr>
      </w:pPr>
      <w:bookmarkStart w:id="23" w:name="p-rc_724e7618088c5976-43"/>
      <w:bookmarkEnd w:id="23"/>
      <w:r>
        <w:rPr>
          <w:rFonts w:ascii="times new roman" w:hAnsi="times new roman"/>
          <w:b w:val="false"/>
          <w:bCs w:val="false"/>
          <w:color w:val="1F1F1F"/>
        </w:rPr>
        <w:t>4.3.1</w:t>
      </w:r>
      <w:r>
        <w:rPr>
          <w:rFonts w:ascii="times new roman" w:hAnsi="times new roman"/>
          <w:b/>
          <w:color w:val="1F1F1F"/>
        </w:rPr>
        <w:t xml:space="preserve"> In regular chat:</w:t>
      </w:r>
      <w:r>
        <w:rPr>
          <w:rFonts w:ascii="times new roman" w:hAnsi="times new roman"/>
          <w:color w:val="1F1F1F"/>
        </w:rPr>
        <w:t xml:space="preserve"> Tap the </w:t>
      </w:r>
      <w:r>
        <w:rPr>
          <w:rFonts w:ascii="times new roman" w:hAnsi="times new roman"/>
          <w:b/>
          <w:color w:val="1F1F1F"/>
        </w:rPr>
        <w:t>Microphone</w:t>
      </w:r>
      <w:r>
        <w:rPr>
          <w:rFonts w:ascii="times new roman" w:hAnsi="times new roman"/>
          <w:color w:val="1F1F1F"/>
        </w:rPr>
        <w:t xml:space="preserve"> icon in the bottom bar, say your prompt, and Gemini will automatically read its response aloud.</w:t>
      </w:r>
    </w:p>
    <w:p>
      <w:pPr>
        <w:pStyle w:val="BodyText"/>
        <w:jc w:val="both"/>
        <w:rPr>
          <w:rFonts w:ascii="times new roman" w:hAnsi="times new roman"/>
          <w:color w:val="1F1F1F"/>
        </w:rPr>
      </w:pPr>
      <w:r>
        <w:rPr>
          <w:rFonts w:ascii="times new roman" w:hAnsi="times new roman"/>
          <w:b w:val="false"/>
          <w:bCs w:val="false"/>
          <w:color w:val="1F1F1F"/>
        </w:rPr>
        <w:t>4.3.2</w:t>
      </w:r>
      <w:r>
        <w:rPr>
          <w:rFonts w:ascii="times new roman" w:hAnsi="times new roman"/>
          <w:b/>
          <w:color w:val="1F1F1F"/>
        </w:rPr>
        <w:t xml:space="preserve"> Change the Voice:</w:t>
      </w:r>
    </w:p>
    <w:p>
      <w:pPr>
        <w:pStyle w:val="BodyText"/>
        <w:jc w:val="both"/>
        <w:rPr>
          <w:rFonts w:ascii="times new roman" w:hAnsi="times new roman"/>
          <w:color w:val="1F1F1F"/>
        </w:rPr>
      </w:pPr>
      <w:r>
        <w:rPr>
          <w:rFonts w:ascii="times new roman" w:hAnsi="times new roman"/>
          <w:color w:val="1F1F1F"/>
        </w:rPr>
        <w:t xml:space="preserve">4.3.2.1 Go to Gemini </w:t>
      </w:r>
      <w:r>
        <w:rPr>
          <w:rFonts w:ascii="times new roman" w:hAnsi="times new roman"/>
          <w:b/>
          <w:color w:val="1F1F1F"/>
        </w:rPr>
        <w:t>Settings</w:t>
      </w:r>
      <w:r>
        <w:rPr>
          <w:rFonts w:ascii="times new roman" w:hAnsi="times new roman"/>
          <w:color w:val="1F1F1F"/>
        </w:rPr>
        <w:t>.</w:t>
      </w:r>
    </w:p>
    <w:p>
      <w:pPr>
        <w:pStyle w:val="BodyText"/>
        <w:jc w:val="both"/>
        <w:rPr>
          <w:rFonts w:ascii="times new roman" w:hAnsi="times new roman"/>
          <w:color w:val="1F1F1F"/>
        </w:rPr>
      </w:pPr>
      <w:r>
        <w:rPr>
          <w:rFonts w:ascii="times new roman" w:hAnsi="times new roman"/>
          <w:color w:val="1F1F1F"/>
        </w:rPr>
        <w:t xml:space="preserve">4.3.2.2 Tap </w:t>
      </w:r>
      <w:r>
        <w:rPr>
          <w:rFonts w:ascii="times new roman" w:hAnsi="times new roman"/>
          <w:b/>
          <w:color w:val="1F1F1F"/>
        </w:rPr>
        <w:t>Gemini's Voice</w:t>
      </w:r>
      <w:r>
        <w:rPr>
          <w:rFonts w:ascii="times new roman" w:hAnsi="times new roman"/>
          <w:color w:val="1F1F1F"/>
        </w:rPr>
        <w:t>.</w:t>
      </w:r>
    </w:p>
    <w:p>
      <w:pPr>
        <w:pStyle w:val="BodyText"/>
        <w:jc w:val="both"/>
        <w:rPr>
          <w:rFonts w:ascii="times new roman" w:hAnsi="times new roman"/>
          <w:color w:val="1F1F1F"/>
        </w:rPr>
      </w:pPr>
      <w:r>
        <w:rPr>
          <w:rFonts w:ascii="times new roman" w:hAnsi="times new roman"/>
          <w:color w:val="1F1F1F"/>
        </w:rPr>
        <w:t xml:space="preserve">4.3.3.3 Swipe through the options (e.g., Nova, Lyra, Vega) to hear samples and tap </w:t>
      </w:r>
      <w:r>
        <w:rPr>
          <w:rFonts w:ascii="times new roman" w:hAnsi="times new roman"/>
          <w:b/>
          <w:color w:val="1F1F1F"/>
        </w:rPr>
        <w:t>Select</w:t>
      </w:r>
      <w:r>
        <w:rPr>
          <w:rFonts w:ascii="times new roman" w:hAnsi="times new roman"/>
          <w:color w:val="1F1F1F"/>
        </w:rPr>
        <w:t xml:space="preserve"> on your favorite.</w:t>
      </w:r>
    </w:p>
    <w:p>
      <w:pPr>
        <w:pStyle w:val="Heading2"/>
        <w:widowControl/>
        <w:numPr>
          <w:ilvl w:val="0"/>
          <w:numId w:val="0"/>
        </w:numPr>
        <w:spacing w:lineRule="auto" w:line="276" w:before="0" w:after="140"/>
        <w:ind w:hanging="0" w:left="86" w:right="24"/>
        <w:jc w:val="both"/>
        <w:rPr>
          <w:rFonts w:ascii="times new roman" w:hAnsi="times new roman"/>
          <w:b w:val="false"/>
          <w:bCs w:val="false"/>
          <w:color w:val="1F1F1F"/>
        </w:rPr>
      </w:pPr>
      <w:r>
        <w:rPr>
          <w:rFonts w:ascii="times new roman" w:hAnsi="times new roman"/>
          <w:b w:val="false"/>
          <w:bCs w:val="false"/>
          <w:color w:val="1F1F1F"/>
        </w:rPr>
        <w:t>4.4 Using Gemini Live (Continuous Conversation)</w:t>
      </w:r>
    </w:p>
    <w:p>
      <w:pPr>
        <w:pStyle w:val="BodyText"/>
        <w:ind w:hanging="0" w:left="0" w:right="0"/>
        <w:jc w:val="both"/>
        <w:rPr>
          <w:rFonts w:ascii="times new roman" w:hAnsi="times new roman"/>
          <w:color w:val="1F1F1F"/>
        </w:rPr>
      </w:pPr>
      <w:bookmarkStart w:id="24" w:name="p-rc_724e7618088c5976-46"/>
      <w:bookmarkEnd w:id="24"/>
      <w:r>
        <w:rPr>
          <w:rFonts w:ascii="times new roman" w:hAnsi="times new roman"/>
          <w:color w:val="1F1F1F"/>
        </w:rPr>
        <w:t>Gemini Live allows for a natural, back-and-forth conversation where you can interrupt and don't need to tap a button for every prompt.</w:t>
      </w:r>
    </w:p>
    <w:p>
      <w:pPr>
        <w:pStyle w:val="BodyText"/>
        <w:ind w:hanging="0" w:left="0" w:right="0"/>
        <w:jc w:val="both"/>
        <w:rPr>
          <w:rFonts w:ascii="times new roman" w:hAnsi="times new roman"/>
          <w:color w:val="1F1F1F"/>
        </w:rPr>
      </w:pPr>
      <w:r>
        <w:rPr>
          <w:rFonts w:ascii="times new roman" w:hAnsi="times new roman"/>
          <w:color w:val="1F1F1F"/>
        </w:rPr>
        <w:t>4.4.1Open the Gemini app.</w:t>
      </w:r>
    </w:p>
    <w:p>
      <w:pPr>
        <w:pStyle w:val="BodyText"/>
        <w:ind w:hanging="0" w:left="0" w:right="0"/>
        <w:jc w:val="both"/>
        <w:rPr>
          <w:rFonts w:ascii="times new roman" w:hAnsi="times new roman"/>
          <w:color w:val="1F1F1F"/>
        </w:rPr>
      </w:pPr>
      <w:r>
        <w:rPr>
          <w:rFonts w:ascii="times new roman" w:hAnsi="times new roman"/>
          <w:color w:val="1F1F1F"/>
        </w:rPr>
        <w:t xml:space="preserve">4.4.2 Tap the </w:t>
      </w:r>
      <w:r>
        <w:rPr>
          <w:rFonts w:ascii="times new roman" w:hAnsi="times new roman"/>
          <w:b/>
          <w:color w:val="1F1F1F"/>
        </w:rPr>
        <w:t>Live icon</w:t>
      </w:r>
      <w:r>
        <w:rPr>
          <w:rFonts w:ascii="times new roman" w:hAnsi="times new roman"/>
          <w:color w:val="1F1F1F"/>
        </w:rPr>
        <w:t xml:space="preserve"> (looks like a waveform with a spark) at the bottom right.</w:t>
      </w:r>
    </w:p>
    <w:p>
      <w:pPr>
        <w:pStyle w:val="BodyText"/>
        <w:ind w:hanging="0" w:left="0" w:right="0"/>
        <w:jc w:val="both"/>
        <w:rPr>
          <w:rFonts w:ascii="times new roman" w:hAnsi="times new roman"/>
          <w:color w:val="1F1F1F"/>
        </w:rPr>
      </w:pPr>
      <w:r>
        <w:rPr>
          <w:rFonts w:ascii="times new roman" w:hAnsi="times new roman"/>
          <w:b w:val="false"/>
          <w:bCs w:val="false"/>
          <w:color w:val="1F1F1F"/>
        </w:rPr>
        <w:t>4.4.3</w:t>
      </w:r>
      <w:r>
        <w:rPr>
          <w:rFonts w:ascii="times new roman" w:hAnsi="times new roman"/>
          <w:b/>
          <w:color w:val="1F1F1F"/>
        </w:rPr>
        <w:t xml:space="preserve"> To interrupt:</w:t>
      </w:r>
      <w:r>
        <w:rPr>
          <w:rFonts w:ascii="times new roman" w:hAnsi="times new roman"/>
          <w:color w:val="1F1F1F"/>
        </w:rPr>
        <w:t xml:space="preserve"> Simply start speaking while Gemini is talking.</w:t>
      </w:r>
    </w:p>
    <w:p>
      <w:pPr>
        <w:pStyle w:val="BodyText"/>
        <w:spacing w:before="0" w:after="140"/>
        <w:ind w:hanging="0" w:left="0" w:right="0"/>
        <w:jc w:val="both"/>
        <w:rPr/>
      </w:pPr>
      <w:r>
        <w:rPr>
          <w:rFonts w:ascii="times new roman" w:hAnsi="times new roman"/>
          <w:b w:val="false"/>
          <w:bCs w:val="false"/>
          <w:color w:val="1F1F1F"/>
        </w:rPr>
        <w:t>4.4.3.1</w:t>
      </w:r>
      <w:r>
        <w:rPr>
          <w:rFonts w:ascii="times new roman" w:hAnsi="times new roman"/>
          <w:b/>
          <w:color w:val="1F1F1F"/>
        </w:rPr>
        <w:t xml:space="preserve"> In the background:</w:t>
      </w:r>
      <w:r>
        <w:rPr>
          <w:rFonts w:ascii="times new roman" w:hAnsi="times new roman"/>
          <w:color w:val="1F1F1F"/>
        </w:rPr>
        <w:t xml:space="preserve"> You can swipe out of the app, and the conversation will continue as long as the "Live with Gemini" notification is active.</w:t>
      </w:r>
    </w:p>
    <w:p>
      <w:pPr>
        <w:pStyle w:val="BodyText"/>
        <w:spacing w:before="0" w:after="140"/>
        <w:ind w:hanging="0" w:left="0" w:right="0"/>
        <w:jc w:val="both"/>
        <w:rPr>
          <w:rFonts w:ascii="times new roman" w:hAnsi="times new roman"/>
          <w:color w:val="1F1F1F"/>
        </w:rPr>
      </w:pPr>
      <w:r>
        <w:rPr>
          <w:rFonts w:ascii="times new roman" w:hAnsi="times new roman"/>
          <w:color w:val="1F1F1F"/>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406844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32"/>
                    <a:stretch>
                      <a:fillRect/>
                    </a:stretch>
                  </pic:blipFill>
                  <pic:spPr bwMode="auto">
                    <a:xfrm>
                      <a:off x="0" y="0"/>
                      <a:ext cx="6120130" cy="4068445"/>
                    </a:xfrm>
                    <a:prstGeom prst="rect">
                      <a:avLst/>
                    </a:prstGeom>
                    <a:noFill/>
                  </pic:spPr>
                </pic:pic>
              </a:graphicData>
            </a:graphic>
          </wp:anchor>
        </w:drawing>
      </w:r>
    </w:p>
    <w:sectPr>
      <w:footerReference w:type="even" r:id="rId33"/>
      <w:footerReference w:type="default" r:id="rId34"/>
      <w:footerReference w:type="first" r:id="rId35"/>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Lohit Devanagari">
    <w:altName w:val="Segoe Print"/>
    <w:charset w:val="01"/>
    <w:family w:val="roman"/>
    <w:pitch w:val="variable"/>
  </w:font>
  <w:font w:name="Noto Sans">
    <w:charset w:val="01"/>
    <w:family w:val="swiss"/>
    <w:pitch w:val="variable"/>
  </w:font>
  <w:font w:name="Arial">
    <w:charset w:val="01"/>
    <w:family w:val="swiss"/>
    <w:pitch w:val="variable"/>
  </w:font>
  <w:font w:name="Noto Sans Devanagari">
    <w:charset w:val="01"/>
    <w:family w:val="roman"/>
    <w:pitch w:val="variable"/>
  </w:font>
  <w:font w:name="times new roman">
    <w:charset w:val="01"/>
    <w:family w:val="roman"/>
    <w:pitch w:val="variable"/>
  </w:font>
  <w:font w:name="Times New Roman">
    <w:charset w:val="01"/>
    <w:family w:val="roman"/>
    <w:pitch w:val="variable"/>
  </w:font>
  <w:font w:name="times new roman">
    <w:charset w:val="01"/>
    <w:family w:val="roman"/>
    <w:pitch w:val="default"/>
  </w:font>
  <w:font w:name="Verdana">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isplayBackgroundShape/>
  <w:defaultTabStop w:val="1134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HGPMinchoE" w:hAnsi="Liberation Serif;HGPMinchoE" w:eastAsia="Noto Serif CJK SC;SimSun" w:cs="Liberation Serif;HGPMinchoE"/>
      <w:color w:val="auto"/>
      <w:kern w:val="2"/>
      <w:sz w:val="24"/>
      <w:szCs w:val="24"/>
      <w:lang w:val="en-IN" w:eastAsia="zh-CN" w:bidi="hi-IN"/>
    </w:rPr>
  </w:style>
  <w:style w:type="paragraph" w:styleId="Heading1">
    <w:name w:val="heading 1"/>
    <w:basedOn w:val="Heading"/>
    <w:next w:val="BodyText"/>
    <w:qFormat/>
    <w:pPr>
      <w:numPr>
        <w:ilvl w:val="0"/>
        <w:numId w:val="1"/>
      </w:numPr>
      <w:outlineLvl w:val="0"/>
    </w:pPr>
    <w:rPr>
      <w:rFonts w:ascii="Liberation Serif;HGPMinchoE" w:hAnsi="Liberation Serif;HGPMinchoE" w:eastAsia="Noto Serif CJK SC;SimSun" w:cs="Liberation Serif;HGPMinchoE"/>
      <w:b/>
      <w:bCs/>
      <w:sz w:val="48"/>
      <w:szCs w:val="48"/>
    </w:rPr>
  </w:style>
  <w:style w:type="paragraph" w:styleId="Heading2">
    <w:name w:val="heading 2"/>
    <w:basedOn w:val="Normal"/>
    <w:next w:val="Normal"/>
    <w:qFormat/>
    <w:pPr>
      <w:keepNext w:val="true"/>
      <w:widowControl w:val="false"/>
      <w:numPr>
        <w:ilvl w:val="1"/>
        <w:numId w:val="1"/>
      </w:numPr>
      <w:tabs>
        <w:tab w:val="clear" w:pos="11340"/>
        <w:tab w:val="left" w:pos="0" w:leader="none"/>
      </w:tabs>
      <w:ind w:hanging="0" w:left="86" w:right="24"/>
      <w:jc w:val="center"/>
      <w:outlineLvl w:val="1"/>
    </w:pPr>
    <w:rPr>
      <w:b/>
      <w:bCs/>
    </w:rPr>
  </w:style>
  <w:style w:type="paragraph" w:styleId="Heading3">
    <w:name w:val="heading 3"/>
    <w:basedOn w:val="Normal"/>
    <w:next w:val="Normal"/>
    <w:qFormat/>
    <w:pPr>
      <w:keepNext w:val="true"/>
      <w:widowControl w:val="false"/>
      <w:numPr>
        <w:ilvl w:val="2"/>
        <w:numId w:val="1"/>
      </w:numPr>
      <w:tabs>
        <w:tab w:val="clear" w:pos="11340"/>
        <w:tab w:val="left" w:pos="0" w:leader="none"/>
      </w:tabs>
      <w:jc w:val="center"/>
      <w:outlineLvl w:val="2"/>
    </w:pPr>
    <w:rPr>
      <w:b/>
      <w:bCs/>
    </w:rPr>
  </w:style>
  <w:style w:type="paragraph" w:styleId="Heading4">
    <w:name w:val="heading 4"/>
    <w:basedOn w:val="Heading"/>
    <w:next w:val="BodyText"/>
    <w:qFormat/>
    <w:pPr>
      <w:numPr>
        <w:ilvl w:val="3"/>
        <w:numId w:val="1"/>
      </w:numPr>
      <w:spacing w:before="120" w:after="120"/>
      <w:outlineLvl w:val="3"/>
    </w:pPr>
    <w:rPr>
      <w:rFonts w:ascii="Liberation Serif;HGPMinchoE" w:hAnsi="Liberation Serif;HGPMinchoE" w:eastAsia="Noto Serif CJK SC;SimSun" w:cs="Liberation Serif;HGPMinchoE"/>
      <w:b/>
      <w:bCs/>
      <w:sz w:val="24"/>
      <w:szCs w:val="24"/>
    </w:rPr>
  </w:style>
  <w:style w:type="paragraph" w:styleId="Heading5">
    <w:name w:val="heading 5"/>
    <w:basedOn w:val="Heading"/>
    <w:next w:val="BodyText"/>
    <w:qFormat/>
    <w:pPr>
      <w:numPr>
        <w:ilvl w:val="4"/>
        <w:numId w:val="1"/>
      </w:numPr>
      <w:spacing w:before="120" w:after="60"/>
      <w:outlineLvl w:val="4"/>
    </w:pPr>
    <w:rPr>
      <w:rFonts w:ascii="Liberation Serif;HGPMinchoE" w:hAnsi="Liberation Serif;HGPMinchoE" w:eastAsia="Noto Serif CJK SC;SimSun" w:cs="Liberation Serif;HGPMinchoE"/>
      <w:b/>
      <w:bCs/>
      <w:sz w:val="20"/>
      <w:szCs w:val="20"/>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DefaultParagraphFont">
    <w:name w:val="WW-Default Paragraph Font"/>
    <w:qFormat/>
    <w:rPr/>
  </w:style>
  <w:style w:type="character" w:styleId="Heading2Char">
    <w:name w:val="Heading 2 Char"/>
    <w:qFormat/>
    <w:rPr>
      <w:rFonts w:ascii="Liberation Serif;HGPMinchoE" w:hAnsi="Liberation Serif;HGPMinchoE" w:cs="Liberation Serif;HGPMinchoE"/>
      <w:b/>
      <w:bCs/>
      <w:kern w:val="2"/>
      <w:sz w:val="24"/>
      <w:szCs w:val="24"/>
      <w:lang w:val="en-IN"/>
    </w:rPr>
  </w:style>
  <w:style w:type="character" w:styleId="Emphasis">
    <w:name w:val="Emphasis"/>
    <w:qFormat/>
    <w:rPr>
      <w:i/>
      <w:iCs/>
    </w:rPr>
  </w:style>
  <w:style w:type="character" w:styleId="FollowedHyperlink">
    <w:name w:val="FollowedHyperlink"/>
    <w:rPr>
      <w:color w:val="800000"/>
      <w:u w:val="single"/>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LineNumber">
    <w:name w:val="line number"/>
    <w:rPr/>
  </w:style>
  <w:style w:type="character" w:styleId="FooterChar">
    <w:name w:val="Footer Char"/>
    <w:qFormat/>
    <w:rPr>
      <w:rFonts w:ascii="Liberation Serif;HGPMinchoE" w:hAnsi="Liberation Serif;HGPMinchoE" w:cs="Liberation Serif;HGPMinchoE"/>
      <w:kern w:val="2"/>
      <w:sz w:val="24"/>
      <w:szCs w:val="24"/>
      <w:lang w:val="en-IN"/>
    </w:rPr>
  </w:style>
  <w:style w:type="character" w:styleId="LineNumber1">
    <w:name w:val="Line Number1"/>
    <w:basedOn w:val="WW-DefaultParagraphFont"/>
    <w:qFormat/>
    <w:rPr/>
  </w:style>
  <w:style w:type="character" w:styleId="CommentReference">
    <w:name w:val="Comment Reference"/>
    <w:qFormat/>
    <w:rPr>
      <w:sz w:val="16"/>
      <w:szCs w:val="16"/>
    </w:rPr>
  </w:style>
  <w:style w:type="character" w:styleId="CommentTextChar">
    <w:name w:val="Comment Text Char"/>
    <w:qFormat/>
    <w:rPr>
      <w:rFonts w:ascii="Liberation Serif;HGPMinchoE" w:hAnsi="Liberation Serif;HGPMinchoE" w:eastAsia="Noto Serif CJK SC;SimSun" w:cs="Mangal"/>
      <w:kern w:val="2"/>
      <w:szCs w:val="18"/>
      <w:lang w:bidi="hi-IN"/>
    </w:rPr>
  </w:style>
  <w:style w:type="character" w:styleId="CommentSubjectChar">
    <w:name w:val="Comment Subject Char"/>
    <w:qFormat/>
    <w:rPr>
      <w:rFonts w:ascii="Liberation Serif;HGPMinchoE" w:hAnsi="Liberation Serif;HGPMinchoE" w:eastAsia="Noto Serif CJK SC;SimSun" w:cs="Mangal"/>
      <w:b/>
      <w:bCs/>
      <w:kern w:val="2"/>
      <w:szCs w:val="18"/>
      <w:lang w:bidi="hi-IN"/>
    </w:rPr>
  </w:style>
  <w:style w:type="character" w:styleId="UnresolvedMention">
    <w:name w:val="Unresolved Mention"/>
    <w:qFormat/>
    <w:rPr>
      <w:color w:val="605E5C"/>
      <w:shd w:fill="E1DFDD" w:val="clear"/>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Arial" w:hAnsi="Liberation Sans;Arial" w:eastAsia="Noto Sans CJK SC;Segoe Print" w:cs="Liberation San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HeaderandFooter">
    <w:name w:val="Header and Footer"/>
    <w:basedOn w:val="Normal"/>
    <w:qFormat/>
    <w:pPr>
      <w:suppressLineNumbers/>
    </w:pPr>
    <w:rPr/>
  </w:style>
  <w:style w:type="paragraph" w:styleId="Footer">
    <w:name w:val="footer"/>
    <w:basedOn w:val="HeaderandFooter"/>
    <w:pPr/>
    <w:rPr/>
  </w:style>
  <w:style w:type="paragraph" w:styleId="Header">
    <w:name w:val="header"/>
    <w:basedOn w:val="HeaderandFooter"/>
    <w:pPr/>
    <w:rPr/>
  </w:style>
  <w:style w:type="paragraph" w:styleId="TableofFigures">
    <w:name w:val="table of figures"/>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DefaultDrawingStyle">
    <w:name w:val="Default Drawing Style"/>
    <w:qFormat/>
    <w:pPr>
      <w:widowControl/>
      <w:suppressAutoHyphens w:val="true"/>
      <w:bidi w:val="0"/>
      <w:spacing w:lineRule="atLeast" w:line="200" w:before="0" w:after="0"/>
      <w:jc w:val="left"/>
    </w:pPr>
    <w:rPr>
      <w:rFonts w:ascii="Lohit Devanagari;Segoe Print" w:hAnsi="Lohit Devanagari;Segoe Print" w:eastAsia="DejaVu Sans" w:cs="Noto Sans"/>
      <w:color w:val="auto"/>
      <w:kern w:val="2"/>
      <w:sz w:val="36"/>
      <w:szCs w:val="24"/>
      <w:lang w:val="en-IN" w:eastAsia="zh-CN" w:bidi="hi-IN"/>
    </w:rPr>
  </w:style>
  <w:style w:type="paragraph" w:styleId="Objectwithoutfill">
    <w:name w:val="Object without fill"/>
    <w:basedOn w:val="DefaultDrawingStyle"/>
    <w:qFormat/>
    <w:pPr/>
    <w:rPr/>
  </w:style>
  <w:style w:type="paragraph" w:styleId="Objectwithnofillandnoline">
    <w:name w:val="Object with no fill and no line"/>
    <w:basedOn w:val="DefaultDrawingStyle"/>
    <w:qFormat/>
    <w:pPr/>
    <w:rPr/>
  </w:style>
  <w:style w:type="paragraph" w:styleId="Text">
    <w:name w:val="Text"/>
    <w:basedOn w:val="Caption"/>
    <w:qFormat/>
    <w:pPr/>
    <w:rPr/>
  </w:style>
  <w:style w:type="paragraph" w:styleId="A4">
    <w:name w:val="A4"/>
    <w:basedOn w:val="Text"/>
    <w:qFormat/>
    <w:pPr/>
    <w:rPr>
      <w:rFonts w:ascii="Noto Sans" w:hAnsi="Noto Sans" w:cs="Noto Sans"/>
      <w:sz w:val="36"/>
    </w:rPr>
  </w:style>
  <w:style w:type="paragraph" w:styleId="TitleA4">
    <w:name w:val="Title A4"/>
    <w:basedOn w:val="A4"/>
    <w:qFormat/>
    <w:pPr/>
    <w:rPr>
      <w:sz w:val="87"/>
    </w:rPr>
  </w:style>
  <w:style w:type="paragraph" w:styleId="HeadingA4">
    <w:name w:val="Heading A4"/>
    <w:basedOn w:val="A4"/>
    <w:qFormat/>
    <w:pPr/>
    <w:rPr>
      <w:sz w:val="48"/>
    </w:rPr>
  </w:style>
  <w:style w:type="paragraph" w:styleId="TextA4">
    <w:name w:val="Text A4"/>
    <w:basedOn w:val="A4"/>
    <w:qFormat/>
    <w:pPr/>
    <w:rPr/>
  </w:style>
  <w:style w:type="paragraph" w:styleId="A0">
    <w:name w:val="A0"/>
    <w:basedOn w:val="Text"/>
    <w:qFormat/>
    <w:pPr/>
    <w:rPr>
      <w:rFonts w:ascii="Noto Sans" w:hAnsi="Noto Sans" w:cs="Noto Sans"/>
      <w:sz w:val="95"/>
    </w:rPr>
  </w:style>
  <w:style w:type="paragraph" w:styleId="TitleA0">
    <w:name w:val="Title A0"/>
    <w:basedOn w:val="A0"/>
    <w:qFormat/>
    <w:pPr/>
    <w:rPr>
      <w:sz w:val="191"/>
    </w:rPr>
  </w:style>
  <w:style w:type="paragraph" w:styleId="HeadingA0">
    <w:name w:val="Heading A0"/>
    <w:basedOn w:val="A0"/>
    <w:qFormat/>
    <w:pPr/>
    <w:rPr>
      <w:sz w:val="143"/>
    </w:rPr>
  </w:style>
  <w:style w:type="paragraph" w:styleId="TextA0">
    <w:name w:val="Text A0"/>
    <w:basedOn w:val="A0"/>
    <w:qFormat/>
    <w:pPr/>
    <w:rPr/>
  </w:style>
  <w:style w:type="paragraph" w:styleId="Graphic">
    <w:name w:val="Graphic"/>
    <w:qFormat/>
    <w:pPr>
      <w:widowControl/>
      <w:suppressAutoHyphens w:val="true"/>
      <w:bidi w:val="0"/>
      <w:spacing w:before="0" w:after="0"/>
      <w:jc w:val="left"/>
    </w:pPr>
    <w:rPr>
      <w:rFonts w:ascii="Liberation Sans;Arial" w:hAnsi="Liberation Sans;Arial" w:eastAsia="DejaVu Sans" w:cs="Noto Sans"/>
      <w:color w:val="auto"/>
      <w:kern w:val="2"/>
      <w:sz w:val="36"/>
      <w:szCs w:val="24"/>
      <w:lang w:val="en-IN" w:eastAsia="zh-CN" w:bidi="hi-IN"/>
    </w:rPr>
  </w:style>
  <w:style w:type="paragraph" w:styleId="Shapes">
    <w:name w:val="Shapes"/>
    <w:basedOn w:val="Graphic"/>
    <w:qFormat/>
    <w:pPr/>
    <w:rPr>
      <w:b/>
      <w:sz w:val="28"/>
    </w:rPr>
  </w:style>
  <w:style w:type="paragraph" w:styleId="Filled">
    <w:name w:val="Filled"/>
    <w:basedOn w:val="Shapes"/>
    <w:qFormat/>
    <w:pPr/>
    <w:rPr/>
  </w:style>
  <w:style w:type="paragraph" w:styleId="FilledBlue">
    <w:name w:val="Filled Blue"/>
    <w:basedOn w:val="Filled"/>
    <w:qFormat/>
    <w:pPr/>
    <w:rPr>
      <w:color w:val="FFFFFF"/>
    </w:rPr>
  </w:style>
  <w:style w:type="paragraph" w:styleId="FilledGreen">
    <w:name w:val="Filled Green"/>
    <w:basedOn w:val="Filled"/>
    <w:qFormat/>
    <w:pPr/>
    <w:rPr>
      <w:color w:val="FFFFFF"/>
    </w:rPr>
  </w:style>
  <w:style w:type="paragraph" w:styleId="FilledRed">
    <w:name w:val="Filled Red"/>
    <w:basedOn w:val="Filled"/>
    <w:qFormat/>
    <w:pPr/>
    <w:rPr>
      <w:color w:val="FFFFFF"/>
    </w:rPr>
  </w:style>
  <w:style w:type="paragraph" w:styleId="FilledYellow">
    <w:name w:val="Filled Yellow"/>
    <w:basedOn w:val="Filled"/>
    <w:qFormat/>
    <w:pPr/>
    <w:rPr>
      <w:color w:val="FFFFFF"/>
    </w:rPr>
  </w:style>
  <w:style w:type="paragraph" w:styleId="Outlined">
    <w:name w:val="Outlined"/>
    <w:basedOn w:val="Shapes"/>
    <w:qFormat/>
    <w:pPr/>
    <w:rPr/>
  </w:style>
  <w:style w:type="paragraph" w:styleId="OutlinedBlue">
    <w:name w:val="Outlined Blue"/>
    <w:basedOn w:val="Outlined"/>
    <w:qFormat/>
    <w:pPr/>
    <w:rPr>
      <w:color w:val="355269"/>
    </w:rPr>
  </w:style>
  <w:style w:type="paragraph" w:styleId="OutlinedGreen">
    <w:name w:val="Outlined Green"/>
    <w:basedOn w:val="Outlined"/>
    <w:qFormat/>
    <w:pPr/>
    <w:rPr>
      <w:color w:val="127622"/>
    </w:rPr>
  </w:style>
  <w:style w:type="paragraph" w:styleId="OutlinedRed">
    <w:name w:val="Outlined Red"/>
    <w:basedOn w:val="Outlined"/>
    <w:qFormat/>
    <w:pPr/>
    <w:rPr>
      <w:color w:val="C9211E"/>
    </w:rPr>
  </w:style>
  <w:style w:type="paragraph" w:styleId="OutlinedYellow">
    <w:name w:val="Outlined Yellow"/>
    <w:basedOn w:val="Outlined"/>
    <w:qFormat/>
    <w:pPr/>
    <w:rPr>
      <w:color w:val="B47804"/>
    </w:rPr>
  </w:style>
  <w:style w:type="paragraph" w:styleId="Lines">
    <w:name w:val="Lines"/>
    <w:basedOn w:val="Graphic"/>
    <w:qFormat/>
    <w:pPr/>
    <w:rPr/>
  </w:style>
  <w:style w:type="paragraph" w:styleId="ArrowLine">
    <w:name w:val="Arrow Line"/>
    <w:basedOn w:val="Lines"/>
    <w:qFormat/>
    <w:pPr/>
    <w:rPr/>
  </w:style>
  <w:style w:type="paragraph" w:styleId="DashedLine">
    <w:name w:val="Dashed Line"/>
    <w:basedOn w:val="Lines"/>
    <w:qFormat/>
    <w:pPr/>
    <w:rPr/>
  </w:style>
  <w:style w:type="paragraph" w:styleId="DefaultLTGliederung1">
    <w:name w:val="Default~LT~Gliederung 1"/>
    <w:qFormat/>
    <w:pPr>
      <w:widowControl/>
      <w:suppressAutoHyphens w:val="true"/>
      <w:bidi w:val="0"/>
      <w:spacing w:before="283" w:after="0"/>
      <w:jc w:val="left"/>
    </w:pPr>
    <w:rPr>
      <w:rFonts w:ascii="Lohit Devanagari;Segoe Print" w:hAnsi="Lohit Devanagari;Segoe Print" w:eastAsia="DejaVu Sans" w:cs="Noto Sans"/>
      <w:color w:val="auto"/>
      <w:kern w:val="2"/>
      <w:sz w:val="64"/>
      <w:szCs w:val="24"/>
      <w:lang w:val="en-IN" w:eastAsia="zh-CN" w:bidi="hi-IN"/>
    </w:rPr>
  </w:style>
  <w:style w:type="paragraph" w:styleId="DefaultLTGliederung2">
    <w:name w:val="Default~LT~Gliederung 2"/>
    <w:basedOn w:val="DefaultLTGliederung1"/>
    <w:qFormat/>
    <w:pPr>
      <w:spacing w:before="227" w:after="0"/>
    </w:pPr>
    <w:rPr>
      <w:sz w:val="56"/>
    </w:rPr>
  </w:style>
  <w:style w:type="paragraph" w:styleId="DefaultLTGliederung3">
    <w:name w:val="Default~LT~Gliederung 3"/>
    <w:basedOn w:val="DefaultLTGliederung2"/>
    <w:qFormat/>
    <w:pPr>
      <w:spacing w:before="170" w:after="0"/>
    </w:pPr>
    <w:rPr>
      <w:sz w:val="48"/>
    </w:rPr>
  </w:style>
  <w:style w:type="paragraph" w:styleId="DefaultLTGliederung4">
    <w:name w:val="Default~LT~Gliederung 4"/>
    <w:basedOn w:val="DefaultLTGliederung3"/>
    <w:qFormat/>
    <w:pPr>
      <w:spacing w:before="113" w:after="0"/>
    </w:pPr>
    <w:rPr>
      <w:sz w:val="40"/>
    </w:rPr>
  </w:style>
  <w:style w:type="paragraph" w:styleId="DefaultLTGliederung5">
    <w:name w:val="Default~LT~Gliederung 5"/>
    <w:basedOn w:val="DefaultLTGliederung4"/>
    <w:qFormat/>
    <w:pPr>
      <w:spacing w:before="57" w:after="0"/>
    </w:pPr>
    <w:rPr/>
  </w:style>
  <w:style w:type="paragraph" w:styleId="DefaultLTGliederung6">
    <w:name w:val="Default~LT~Gliederung 6"/>
    <w:basedOn w:val="DefaultLTGliederung5"/>
    <w:qFormat/>
    <w:pPr/>
    <w:rPr/>
  </w:style>
  <w:style w:type="paragraph" w:styleId="DefaultLTGliederung7">
    <w:name w:val="Default~LT~Gliederung 7"/>
    <w:basedOn w:val="DefaultLTGliederung6"/>
    <w:qFormat/>
    <w:pPr/>
    <w:rPr/>
  </w:style>
  <w:style w:type="paragraph" w:styleId="DefaultLTGliederung8">
    <w:name w:val="Default~LT~Gliederung 8"/>
    <w:basedOn w:val="DefaultLTGliederung7"/>
    <w:qFormat/>
    <w:pPr/>
    <w:rPr/>
  </w:style>
  <w:style w:type="paragraph" w:styleId="DefaultLTGliederung9">
    <w:name w:val="Default~LT~Gliederung 9"/>
    <w:basedOn w:val="DefaultLTGliederung8"/>
    <w:qFormat/>
    <w:pPr/>
    <w:rPr/>
  </w:style>
  <w:style w:type="paragraph" w:styleId="DefaultLTTitel">
    <w:name w:val="Default~LT~Titel"/>
    <w:qFormat/>
    <w:pPr>
      <w:widowControl/>
      <w:suppressAutoHyphens w:val="true"/>
      <w:bidi w:val="0"/>
      <w:spacing w:before="0" w:after="0"/>
      <w:jc w:val="center"/>
    </w:pPr>
    <w:rPr>
      <w:rFonts w:ascii="Lohit Devanagari;Segoe Print" w:hAnsi="Lohit Devanagari;Segoe Print" w:eastAsia="DejaVu Sans" w:cs="Noto Sans"/>
      <w:color w:val="auto"/>
      <w:kern w:val="2"/>
      <w:sz w:val="88"/>
      <w:szCs w:val="24"/>
      <w:lang w:val="en-IN" w:eastAsia="zh-CN" w:bidi="hi-IN"/>
    </w:rPr>
  </w:style>
  <w:style w:type="paragraph" w:styleId="DefaultLTUntertitel">
    <w:name w:val="Default~LT~Untertitel"/>
    <w:qFormat/>
    <w:pPr>
      <w:widowControl/>
      <w:suppressAutoHyphens w:val="true"/>
      <w:bidi w:val="0"/>
      <w:spacing w:before="0" w:after="0"/>
      <w:jc w:val="center"/>
    </w:pPr>
    <w:rPr>
      <w:rFonts w:ascii="Lohit Devanagari;Segoe Print" w:hAnsi="Lohit Devanagari;Segoe Print" w:eastAsia="DejaVu Sans" w:cs="Noto Sans"/>
      <w:color w:val="auto"/>
      <w:kern w:val="2"/>
      <w:sz w:val="64"/>
      <w:szCs w:val="24"/>
      <w:lang w:val="en-IN" w:eastAsia="zh-CN" w:bidi="hi-IN"/>
    </w:rPr>
  </w:style>
  <w:style w:type="paragraph" w:styleId="DefaultLTNotizen">
    <w:name w:val="Default~LT~Notizen"/>
    <w:qFormat/>
    <w:pPr>
      <w:widowControl/>
      <w:suppressAutoHyphens w:val="true"/>
      <w:bidi w:val="0"/>
      <w:spacing w:before="0" w:after="0"/>
      <w:ind w:hanging="340" w:left="340" w:right="0"/>
      <w:jc w:val="left"/>
    </w:pPr>
    <w:rPr>
      <w:rFonts w:ascii="Lohit Devanagari;Segoe Print" w:hAnsi="Lohit Devanagari;Segoe Print" w:eastAsia="DejaVu Sans" w:cs="Noto Sans"/>
      <w:color w:val="auto"/>
      <w:kern w:val="2"/>
      <w:sz w:val="40"/>
      <w:szCs w:val="24"/>
      <w:lang w:val="en-IN" w:eastAsia="zh-CN" w:bidi="hi-IN"/>
    </w:rPr>
  </w:style>
  <w:style w:type="paragraph" w:styleId="DefaultLTHintergrundobjekte">
    <w:name w:val="Default~LT~Hintergrundobjekte"/>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DefaultLTHintergrund">
    <w:name w:val="Default~LT~Hintergrund"/>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default">
    <w:name w:val="default"/>
    <w:qFormat/>
    <w:pPr>
      <w:widowControl/>
      <w:suppressAutoHyphens w:val="true"/>
      <w:bidi w:val="0"/>
      <w:spacing w:lineRule="atLeast" w:line="200" w:before="0" w:after="0"/>
      <w:jc w:val="left"/>
    </w:pPr>
    <w:rPr>
      <w:rFonts w:ascii="Lohit Devanagari;Segoe Print" w:hAnsi="Lohit Devanagari;Segoe Print" w:eastAsia="DejaVu Sans" w:cs="Noto Sans"/>
      <w:color w:val="auto"/>
      <w:kern w:val="2"/>
      <w:sz w:val="36"/>
      <w:szCs w:val="24"/>
      <w:lang w:val="en-IN" w:eastAsia="zh-CN" w:bidi="hi-IN"/>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Backgroundobjects">
    <w:name w:val="Background objects"/>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Background">
    <w:name w:val="Background"/>
    <w:qFormat/>
    <w:pPr>
      <w:widowControl/>
      <w:suppressAutoHyphens w:val="true"/>
      <w:bidi w:val="0"/>
      <w:spacing w:before="0" w:after="0"/>
      <w:jc w:val="left"/>
    </w:pPr>
    <w:rPr>
      <w:rFonts w:ascii="Liberation Serif;HGPMinchoE" w:hAnsi="Liberation Serif;HGPMinchoE" w:eastAsia="DejaVu Sans" w:cs="Noto Sans"/>
      <w:color w:val="auto"/>
      <w:kern w:val="2"/>
      <w:sz w:val="24"/>
      <w:szCs w:val="24"/>
      <w:lang w:val="en-IN" w:eastAsia="zh-CN" w:bidi="hi-IN"/>
    </w:rPr>
  </w:style>
  <w:style w:type="paragraph" w:styleId="Notes">
    <w:name w:val="Notes"/>
    <w:qFormat/>
    <w:pPr>
      <w:widowControl/>
      <w:suppressAutoHyphens w:val="true"/>
      <w:bidi w:val="0"/>
      <w:spacing w:before="0" w:after="0"/>
      <w:ind w:hanging="340" w:left="340" w:right="0"/>
      <w:jc w:val="left"/>
    </w:pPr>
    <w:rPr>
      <w:rFonts w:ascii="Lohit Devanagari;Segoe Print" w:hAnsi="Lohit Devanagari;Segoe Print" w:eastAsia="DejaVu Sans" w:cs="Noto Sans"/>
      <w:color w:val="auto"/>
      <w:kern w:val="2"/>
      <w:sz w:val="40"/>
      <w:szCs w:val="24"/>
      <w:lang w:val="en-IN" w:eastAsia="zh-CN" w:bidi="hi-IN"/>
    </w:rPr>
  </w:style>
  <w:style w:type="paragraph" w:styleId="Outline1">
    <w:name w:val="Outline 1"/>
    <w:qFormat/>
    <w:pPr>
      <w:widowControl/>
      <w:suppressAutoHyphens w:val="true"/>
      <w:bidi w:val="0"/>
      <w:spacing w:before="283" w:after="0"/>
      <w:jc w:val="left"/>
    </w:pPr>
    <w:rPr>
      <w:rFonts w:ascii="Lohit Devanagari;Segoe Print" w:hAnsi="Lohit Devanagari;Segoe Print" w:eastAsia="DejaVu Sans" w:cs="Noto Sans"/>
      <w:color w:val="auto"/>
      <w:kern w:val="2"/>
      <w:sz w:val="64"/>
      <w:szCs w:val="24"/>
      <w:lang w:val="en-IN" w:eastAsia="zh-CN" w:bidi="hi-IN"/>
    </w:rPr>
  </w:style>
  <w:style w:type="paragraph" w:styleId="Outline2">
    <w:name w:val="Outline 2"/>
    <w:basedOn w:val="Outline1"/>
    <w:qFormat/>
    <w:pPr>
      <w:spacing w:before="227" w:after="0"/>
    </w:pPr>
    <w:rPr>
      <w:sz w:val="56"/>
    </w:rPr>
  </w:style>
  <w:style w:type="paragraph" w:styleId="Outline3">
    <w:name w:val="Outline 3"/>
    <w:basedOn w:val="Outline2"/>
    <w:qFormat/>
    <w:pPr>
      <w:spacing w:before="170" w:after="0"/>
    </w:pPr>
    <w:rPr>
      <w:sz w:val="48"/>
    </w:rPr>
  </w:style>
  <w:style w:type="paragraph" w:styleId="Outline4">
    <w:name w:val="Outline 4"/>
    <w:basedOn w:val="Outline3"/>
    <w:qFormat/>
    <w:pPr>
      <w:spacing w:before="113" w:after="0"/>
    </w:pPr>
    <w:rPr>
      <w:sz w:val="40"/>
    </w:rPr>
  </w:style>
  <w:style w:type="paragraph" w:styleId="Outline5">
    <w:name w:val="Outline 5"/>
    <w:basedOn w:val="Outline4"/>
    <w:qFormat/>
    <w:pPr>
      <w:spacing w:before="57" w:after="0"/>
    </w:pPr>
    <w:rPr/>
  </w:style>
  <w:style w:type="paragraph" w:styleId="Outline6">
    <w:name w:val="Outline 6"/>
    <w:basedOn w:val="Outline5"/>
    <w:qFormat/>
    <w:pPr/>
    <w:rPr/>
  </w:style>
  <w:style w:type="paragraph" w:styleId="Outline7">
    <w:name w:val="Outline 7"/>
    <w:basedOn w:val="Outline6"/>
    <w:qFormat/>
    <w:pPr/>
    <w:rPr/>
  </w:style>
  <w:style w:type="paragraph" w:styleId="Outline8">
    <w:name w:val="Outline 8"/>
    <w:basedOn w:val="Outline7"/>
    <w:qFormat/>
    <w:pPr/>
    <w:rPr/>
  </w:style>
  <w:style w:type="paragraph" w:styleId="Outline9">
    <w:name w:val="Outline 9"/>
    <w:basedOn w:val="Outline8"/>
    <w:qFormat/>
    <w:pPr/>
    <w:rPr/>
  </w:style>
  <w:style w:type="paragraph" w:styleId="FrameContents">
    <w:name w:val="Frame Contents"/>
    <w:basedOn w:val="Normal"/>
    <w:qFormat/>
    <w:pPr/>
    <w:rPr/>
  </w:style>
  <w:style w:type="paragraph" w:styleId="Figure">
    <w:name w:val="Figure"/>
    <w:basedOn w:val="Caption"/>
    <w:qFormat/>
    <w:pPr/>
    <w:rPr/>
  </w:style>
  <w:style w:type="paragraph" w:styleId="Title1LTGliederung1">
    <w:name w:val="Title1~LT~Gliederung 1"/>
    <w:qFormat/>
    <w:pPr>
      <w:widowControl/>
      <w:tabs>
        <w:tab w:val="clear" w:pos="1134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180" w:after="0"/>
      <w:jc w:val="left"/>
    </w:pPr>
    <w:rPr>
      <w:rFonts w:ascii="Arial" w:hAnsi="Arial" w:eastAsia="DejaVu Sans" w:cs="Arial"/>
      <w:b/>
      <w:color w:val="003399"/>
      <w:kern w:val="2"/>
      <w:sz w:val="72"/>
      <w:szCs w:val="24"/>
      <w:lang w:val="en-IN" w:eastAsia="zh-CN" w:bidi="hi-IN"/>
    </w:rPr>
  </w:style>
  <w:style w:type="paragraph" w:styleId="Title1LTGliederung2">
    <w:name w:val="Title1~LT~Gliederung 2"/>
    <w:basedOn w:val="Title1LTGliederung1"/>
    <w:qFormat/>
    <w:pPr>
      <w:spacing w:before="160" w:after="0"/>
    </w:pPr>
    <w:rPr>
      <w:sz w:val="64"/>
    </w:rPr>
  </w:style>
  <w:style w:type="paragraph" w:styleId="Title1LTGliederung3">
    <w:name w:val="Title1~LT~Gliederung 3"/>
    <w:basedOn w:val="Title1LTGliederung2"/>
    <w:qFormat/>
    <w:pPr>
      <w:spacing w:before="120" w:after="0"/>
    </w:pPr>
    <w:rPr>
      <w:color w:val="FFFFFF"/>
      <w:sz w:val="48"/>
    </w:rPr>
  </w:style>
  <w:style w:type="paragraph" w:styleId="Title1LTGliederung4">
    <w:name w:val="Title1~LT~Gliederung 4"/>
    <w:basedOn w:val="Title1LTGliederung3"/>
    <w:qFormat/>
    <w:pPr>
      <w:spacing w:before="100" w:after="0"/>
    </w:pPr>
    <w:rPr>
      <w:sz w:val="40"/>
    </w:rPr>
  </w:style>
  <w:style w:type="paragraph" w:styleId="Title1LTGliederung5">
    <w:name w:val="Title1~LT~Gliederung 5"/>
    <w:basedOn w:val="Title1LTGliederung4"/>
    <w:qFormat/>
    <w:pPr/>
    <w:rPr/>
  </w:style>
  <w:style w:type="paragraph" w:styleId="Title1LTGliederung6">
    <w:name w:val="Title1~LT~Gliederung 6"/>
    <w:basedOn w:val="Title1LTGliederung5"/>
    <w:qFormat/>
    <w:pPr/>
    <w:rPr/>
  </w:style>
  <w:style w:type="paragraph" w:styleId="Title1LTGliederung7">
    <w:name w:val="Title1~LT~Gliederung 7"/>
    <w:basedOn w:val="Title1LTGliederung6"/>
    <w:qFormat/>
    <w:pPr/>
    <w:rPr/>
  </w:style>
  <w:style w:type="paragraph" w:styleId="Title1LTGliederung8">
    <w:name w:val="Title1~LT~Gliederung 8"/>
    <w:basedOn w:val="Title1LTGliederung7"/>
    <w:qFormat/>
    <w:pPr/>
    <w:rPr/>
  </w:style>
  <w:style w:type="paragraph" w:styleId="Title1LTGliederung9">
    <w:name w:val="Title1~LT~Gliederung 9"/>
    <w:basedOn w:val="Title1LTGliederung8"/>
    <w:qFormat/>
    <w:pPr/>
    <w:rPr/>
  </w:style>
  <w:style w:type="paragraph" w:styleId="Title1LTTitel">
    <w:name w:val="Title1~LT~Titel"/>
    <w:qFormat/>
    <w:pPr>
      <w:widowControl/>
      <w:tabs>
        <w:tab w:val="clear" w:pos="1134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0" w:after="0"/>
      <w:jc w:val="center"/>
    </w:pPr>
    <w:rPr>
      <w:rFonts w:ascii="Arial" w:hAnsi="Arial" w:eastAsia="DejaVu Sans" w:cs="Arial"/>
      <w:b/>
      <w:color w:val="FFFFFF"/>
      <w:kern w:val="2"/>
      <w:sz w:val="96"/>
      <w:szCs w:val="24"/>
      <w:lang w:val="en-IN" w:eastAsia="zh-CN" w:bidi="hi-IN"/>
    </w:rPr>
  </w:style>
  <w:style w:type="paragraph" w:styleId="Title1LTUntertitel">
    <w:name w:val="Title1~LT~Untertitel"/>
    <w:qFormat/>
    <w:pPr>
      <w:widowControl/>
      <w:tabs>
        <w:tab w:val="clear" w:pos="1134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180" w:after="0"/>
      <w:jc w:val="center"/>
    </w:pPr>
    <w:rPr>
      <w:rFonts w:ascii="Arial" w:hAnsi="Arial" w:eastAsia="DejaVu Sans" w:cs="Arial"/>
      <w:b/>
      <w:color w:val="003399"/>
      <w:kern w:val="2"/>
      <w:sz w:val="72"/>
      <w:szCs w:val="24"/>
      <w:lang w:val="en-IN" w:eastAsia="zh-CN" w:bidi="hi-IN"/>
    </w:rPr>
  </w:style>
  <w:style w:type="paragraph" w:styleId="Title1LTNotizen">
    <w:name w:val="Title1~LT~Notizen"/>
    <w:qFormat/>
    <w:pPr>
      <w:widowControl/>
      <w:tabs>
        <w:tab w:val="clear" w:pos="1134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suppressAutoHyphens w:val="true"/>
      <w:bidi w:val="0"/>
      <w:spacing w:before="90" w:after="0"/>
      <w:jc w:val="left"/>
    </w:pPr>
    <w:rPr>
      <w:rFonts w:ascii="Lohit Devanagari;Segoe Print" w:hAnsi="Lohit Devanagari;Segoe Print" w:eastAsia="DejaVu Sans" w:cs="Arial"/>
      <w:color w:val="000000"/>
      <w:kern w:val="2"/>
      <w:sz w:val="24"/>
      <w:szCs w:val="24"/>
      <w:lang w:val="en-IN" w:eastAsia="zh-CN" w:bidi="hi-IN"/>
    </w:rPr>
  </w:style>
  <w:style w:type="paragraph" w:styleId="Title1LTHintergrundobjekte">
    <w:name w:val="Title1~LT~Hintergrundobjekte"/>
    <w:qFormat/>
    <w:pPr>
      <w:widowControl/>
      <w:suppressAutoHyphens w:val="true"/>
      <w:bidi w:val="0"/>
      <w:spacing w:before="0" w:after="0"/>
      <w:jc w:val="left"/>
    </w:pPr>
    <w:rPr>
      <w:rFonts w:ascii="Liberation Serif;HGPMinchoE" w:hAnsi="Liberation Serif;HGPMinchoE" w:eastAsia="DejaVu Sans" w:cs="Arial"/>
      <w:color w:val="auto"/>
      <w:kern w:val="2"/>
      <w:sz w:val="24"/>
      <w:szCs w:val="24"/>
      <w:lang w:val="en-IN" w:eastAsia="zh-CN" w:bidi="hi-IN"/>
    </w:rPr>
  </w:style>
  <w:style w:type="paragraph" w:styleId="Title1LTHintergrund">
    <w:name w:val="Title1~LT~Hintergrund"/>
    <w:qFormat/>
    <w:pPr>
      <w:widowControl/>
      <w:suppressAutoHyphens w:val="true"/>
      <w:bidi w:val="0"/>
      <w:spacing w:before="0" w:after="0"/>
      <w:jc w:val="center"/>
    </w:pPr>
    <w:rPr>
      <w:rFonts w:ascii="Liberation Serif;HGPMinchoE" w:hAnsi="Liberation Serif;HGPMinchoE" w:eastAsia="DejaVu Sans" w:cs="Arial"/>
      <w:color w:val="auto"/>
      <w:kern w:val="2"/>
      <w:sz w:val="24"/>
      <w:szCs w:val="24"/>
      <w:lang w:val="en-IN" w:eastAsia="zh-CN" w:bidi="hi-IN"/>
    </w:rPr>
  </w:style>
  <w:style w:type="paragraph" w:styleId="DraftTextnumbering">
    <w:name w:val="Draft Text numbering"/>
    <w:basedOn w:val="Heading2"/>
    <w:qFormat/>
    <w:pPr>
      <w:numPr>
        <w:ilvl w:val="0"/>
        <w:numId w:val="0"/>
      </w:numPr>
      <w:tabs>
        <w:tab w:val="left" w:pos="-1418" w:leader="none"/>
        <w:tab w:val="left" w:pos="360" w:leader="none"/>
      </w:tabs>
      <w:spacing w:before="240" w:after="60"/>
      <w:ind w:hanging="0" w:left="0" w:right="86"/>
      <w:jc w:val="left"/>
      <w:outlineLvl w:val="9"/>
    </w:pPr>
    <w:rPr>
      <w:rFonts w:ascii="Arial" w:hAnsi="Arial" w:cs="Arial"/>
      <w:b w:val="false"/>
      <w:bCs w:val="false"/>
      <w:sz w:val="22"/>
      <w:szCs w:val="22"/>
      <w:lang w:val="en-GB"/>
    </w:rPr>
  </w:style>
  <w:style w:type="paragraph" w:styleId="ListParagraph">
    <w:name w:val="List Paragraph"/>
    <w:basedOn w:val="Normal"/>
    <w:qFormat/>
    <w:pPr>
      <w:ind w:hanging="0" w:left="720" w:right="0"/>
    </w:pPr>
    <w:rPr/>
  </w:style>
  <w:style w:type="paragraph" w:styleId="PreformattedText">
    <w:name w:val="Preformatted Text"/>
    <w:basedOn w:val="Normal"/>
    <w:qFormat/>
    <w:pPr/>
    <w:rPr>
      <w:rFonts w:ascii="Liberation Mono;Courier New" w:hAnsi="Liberation Mono;Courier New" w:eastAsia="Noto Sans Mono CJK SC;Segoe Print" w:cs="Liberation Mono;Courier New"/>
      <w:sz w:val="20"/>
      <w:szCs w:val="20"/>
    </w:rPr>
  </w:style>
  <w:style w:type="paragraph" w:styleId="Revision">
    <w:name w:val="Revision"/>
    <w:qFormat/>
    <w:pPr>
      <w:widowControl/>
      <w:suppressAutoHyphens w:val="true"/>
      <w:bidi w:val="0"/>
      <w:spacing w:before="0" w:after="0"/>
      <w:jc w:val="left"/>
    </w:pPr>
    <w:rPr>
      <w:rFonts w:ascii="Liberation Serif;HGPMinchoE" w:hAnsi="Liberation Serif;HGPMinchoE" w:eastAsia="Noto Serif CJK SC;SimSun" w:cs="Mangal"/>
      <w:color w:val="auto"/>
      <w:kern w:val="2"/>
      <w:sz w:val="24"/>
      <w:szCs w:val="21"/>
      <w:lang w:val="en-IN" w:eastAsia="zh-CN" w:bidi="hi-IN"/>
    </w:rPr>
  </w:style>
  <w:style w:type="paragraph" w:styleId="Framecontents1">
    <w:name w:val="Frame contents1"/>
    <w:basedOn w:val="BodyText"/>
    <w:qFormat/>
    <w:pPr/>
    <w:rPr/>
  </w:style>
  <w:style w:type="paragraph" w:styleId="CommentText">
    <w:name w:val="Comment Text"/>
    <w:basedOn w:val="Normal"/>
    <w:qFormat/>
    <w:pPr/>
    <w:rPr>
      <w:rFonts w:cs="Mangal"/>
      <w:sz w:val="20"/>
      <w:szCs w:val="18"/>
    </w:rPr>
  </w:style>
  <w:style w:type="paragraph" w:styleId="CommentSubject">
    <w:name w:val="Comment Subject"/>
    <w:basedOn w:val="CommentText"/>
    <w:next w:val="CommentText"/>
    <w:qFormat/>
    <w:pPr/>
    <w:rPr>
      <w:b/>
      <w:bCs/>
    </w:rPr>
  </w:style>
  <w:style w:type="paragraph" w:styleId="Default5LTTitel">
    <w:name w:val="Default 5~LT~Titel"/>
    <w:qFormat/>
    <w:pPr>
      <w:widowControl/>
      <w:suppressAutoHyphens w:val="true"/>
      <w:bidi w:val="0"/>
      <w:spacing w:before="0" w:after="0"/>
      <w:jc w:val="center"/>
    </w:pPr>
    <w:rPr>
      <w:rFonts w:ascii="Noto Sans Devanagari" w:hAnsi="Noto Sans Devanagari" w:eastAsia="Noto Sans" w:cs="Calibri Light"/>
      <w:b w:val="false"/>
      <w:i w:val="false"/>
      <w:caps w:val="false"/>
      <w:smallCaps w:val="false"/>
      <w:strike w:val="false"/>
      <w:dstrike w:val="false"/>
      <w:outline w:val="false"/>
      <w:shadow w:val="false"/>
      <w:color w:val="auto"/>
      <w:spacing w:val="0"/>
      <w:kern w:val="2"/>
      <w:sz w:val="88"/>
      <w:szCs w:val="24"/>
      <w:u w:val="none"/>
      <w:em w:val="none"/>
      <w:lang w:val="en-US" w:eastAsia="zh-CN" w:bidi="hi-I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ulalchakrabarti@gmail.com" TargetMode="External"/><Relationship Id="rId3" Type="http://schemas.openxmlformats.org/officeDocument/2006/relationships/hyperlink" Target="https://usof.gov.in/en/bharatnet-project" TargetMode="External"/><Relationship Id="rId4" Type="http://schemas.openxmlformats.org/officeDocument/2006/relationships/hyperlink" Target="https://weathersysbkc.com/"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agcensus.da.gov.in/document/agcen1516/T1_ac_2015_16.pdf" TargetMode="External"/><Relationship Id="rId11" Type="http://schemas.openxmlformats.org/officeDocument/2006/relationships/hyperlink" Target="https://www.pib.gov.in/PressReleasePage.aspx?PRID=2132330&amp;reg=3&amp;lang=2" TargetMode="External"/><Relationship Id="rId12" Type="http://schemas.openxmlformats.org/officeDocument/2006/relationships/hyperlink" Target="https://cgspace.cgiar.org/items/d5be41df-750d-4325-8300-f77da3249f70" TargetMode="External"/><Relationship Id="rId13" Type="http://schemas.openxmlformats.org/officeDocument/2006/relationships/hyperlink" Target="https://arxiv.org/search/cs?searchtype=author&amp;query=Dosovitskiy,+A" TargetMode="External"/><Relationship Id="rId14" Type="http://schemas.openxmlformats.org/officeDocument/2006/relationships/hyperlink" Target="https://arxiv.org/search/cs?searchtype=author&amp;query=Beyer,+L" TargetMode="External"/><Relationship Id="rId15" Type="http://schemas.openxmlformats.org/officeDocument/2006/relationships/hyperlink" Target="https://arxiv.org/search/cs?searchtype=author&amp;query=Kolesnikov,+A" TargetMode="External"/><Relationship Id="rId16" Type="http://schemas.openxmlformats.org/officeDocument/2006/relationships/hyperlink" Target="https://arxiv.org/search/cs?searchtype=author&amp;query=Weissenborn,+D" TargetMode="External"/><Relationship Id="rId17" Type="http://schemas.openxmlformats.org/officeDocument/2006/relationships/hyperlink" Target="https://arxiv.org/search/cs?searchtype=author&amp;query=Zhai,+X" TargetMode="External"/><Relationship Id="rId18" Type="http://schemas.openxmlformats.org/officeDocument/2006/relationships/hyperlink" Target="https://arxiv.org/search/cs?searchtype=author&amp;query=Unterthiner,+T" TargetMode="External"/><Relationship Id="rId19" Type="http://schemas.openxmlformats.org/officeDocument/2006/relationships/hyperlink" Target="https://arxiv.org/search/cs?searchtype=author&amp;query=Dehghani,+M" TargetMode="External"/><Relationship Id="rId20" Type="http://schemas.openxmlformats.org/officeDocument/2006/relationships/hyperlink" Target="https://arxiv.org/search/cs?searchtype=author&amp;query=Minderer,+M" TargetMode="External"/><Relationship Id="rId21" Type="http://schemas.openxmlformats.org/officeDocument/2006/relationships/hyperlink" Target="https://arxiv.org/search/cs?searchtype=author&amp;query=Heigold,+G" TargetMode="External"/><Relationship Id="rId22" Type="http://schemas.openxmlformats.org/officeDocument/2006/relationships/hyperlink" Target="https://arxiv.org/search/cs?searchtype=author&amp;query=Gelly,+S" TargetMode="External"/><Relationship Id="rId23" Type="http://schemas.openxmlformats.org/officeDocument/2006/relationships/hyperlink" Target="https://arxiv.org/search/cs?searchtype=author&amp;query=Uszkoreit,+J" TargetMode="External"/><Relationship Id="rId24" Type="http://schemas.openxmlformats.org/officeDocument/2006/relationships/hyperlink" Target="https://arxiv.org/search/cs?searchtype=author&amp;query=Houlsby,+N" TargetMode="External"/><Relationship Id="rId25" Type="http://schemas.openxmlformats.org/officeDocument/2006/relationships/hyperlink" Target="https://arxiv.org/abs/2010.11929" TargetMode="External"/><Relationship Id="rId26" Type="http://schemas.openxmlformats.org/officeDocument/2006/relationships/hyperlink" Target="https://doi.org/10.1007/s10584-005-9042-x" TargetMode="External"/><Relationship Id="rId27" Type="http://schemas.openxmlformats.org/officeDocument/2006/relationships/hyperlink" Target="https://www.pib.gov.in/PressReleasePage.aspx?PRID=2132330" TargetMode="External"/><Relationship Id="rId28" Type="http://schemas.openxmlformats.org/officeDocument/2006/relationships/hyperlink" Target="https://ieeexplore.ieee.org/author/955800711889847" TargetMode="External"/><Relationship Id="rId29" Type="http://schemas.openxmlformats.org/officeDocument/2006/relationships/hyperlink" Target="https://ieeexplore.ieee.org/xpl/conhome/10409867/proceeding" TargetMode="External"/><Relationship Id="rId30" Type="http://schemas.openxmlformats.org/officeDocument/2006/relationships/hyperlink" Target="https://doi.org/10.3390/technologies13010032" TargetMode="External"/><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3689</TotalTime>
  <Application>LibreOffice/26.2.3.2$Linux_X86_64 LibreOffice_project/d4d5ed47b6084125f28d269a5650105d54dde034</Application>
  <AppVersion>15.0000</AppVersion>
  <Pages>21</Pages>
  <Words>6322</Words>
  <Characters>36719</Characters>
  <CharactersWithSpaces>42662</CharactersWithSpaces>
  <Paragraphs>433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2023-11-30T21:29:00Z</dcterms:created>
  <dc:creator>snath</dc:creator>
  <dc:description/>
  <dc:language>en-US</dc:language>
  <cp:lastModifiedBy/>
  <dcterms:modified xsi:type="dcterms:W3CDTF">2026-05-15T12:48:37Z</dcterms:modified>
  <cp:revision>415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CF0B5E56B9954F76B36697B5B8E74921_13</vt:lpwstr>
  </property>
  <property fmtid="{D5CDD505-2E9C-101B-9397-08002B2CF9AE}" pid="3" name="KSOProductBuildVer">
    <vt:lpwstr>1033-12.2.0.13201_x0000__x0000_</vt:lpwstr>
  </property>
</Properties>
</file>